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5.wmf" ContentType="image/x-wmf"/>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ind w:hanging="0" w:left="162" w:right="0"/>
      </w:pPr>
      <w:r>
        <w:rPr>
          <w:b/>
          <w:bCs/>
          <w:sz w:val="24"/>
          <w:szCs w:val="24"/>
        </w:rPr>
        <w:t>Task Group on Atmospheric Chemical Kinetic Data Evaluation – Data Sheet oClOx23</w:t>
      </w:r>
    </w:p>
    <w:p>
      <w:pPr>
        <w:pStyle w:val="style0"/>
        <w:ind w:hanging="0" w:left="206" w:right="927"/>
        <w:jc w:val="both"/>
      </w:pPr>
      <w:r>
        <w:rPr>
          <w:sz w:val="24"/>
          <w:szCs w:val="24"/>
        </w:rPr>
        <w:t xml:space="preserve">Website: </w:t>
      </w:r>
      <w:hyperlink r:id="rId2">
        <w:r>
          <w:rPr>
            <w:rStyle w:val="style18"/>
            <w:sz w:val="24"/>
            <w:szCs w:val="24"/>
          </w:rPr>
          <w:t>http://iupac.pole-ether.fr</w:t>
        </w:r>
      </w:hyperlink>
      <w:r>
        <w:rPr>
          <w:sz w:val="24"/>
          <w:szCs w:val="24"/>
        </w:rPr>
        <w:t xml:space="preserve">. See website for latest evaluated data. Data sheets can be downloaded for personal use only and must not be retransmitted or disseminated either electronically or in hardcopy without explicit written permission. The citation for this data sheet is: </w:t>
      </w:r>
      <w:r>
        <w:rPr>
          <w:spacing w:val="-3"/>
          <w:sz w:val="24"/>
          <w:szCs w:val="24"/>
          <w:lang w:val="en-US"/>
        </w:rPr>
        <w:t xml:space="preserve">Atkinson, R., Baulch, D. L., Cox, R. A., Crowley, J. N., Hampson, R. F., Hynes, R. G., Jenkin, M. E., Rossi, M. J., Troe, J., and Wallington, T. J.: Atmos. Chem. Phys., 8, 4141, 2008; IUPAC Task Group on Atmospheric Chemical Data Evaluation, </w:t>
      </w:r>
      <w:hyperlink r:id="rId3">
        <w:r>
          <w:rPr>
            <w:rStyle w:val="style18"/>
            <w:sz w:val="24"/>
            <w:szCs w:val="24"/>
          </w:rPr>
          <w:t>http://iupac.pole-ether.fr</w:t>
        </w:r>
      </w:hyperlink>
      <w:r>
        <w:rPr>
          <w:sz w:val="24"/>
          <w:szCs w:val="24"/>
        </w:rPr>
        <w:t xml:space="preserve">. </w:t>
      </w:r>
    </w:p>
    <w:p>
      <w:pPr>
        <w:pStyle w:val="style0"/>
        <w:ind w:hanging="0" w:left="221" w:right="705"/>
        <w:jc w:val="both"/>
      </w:pPr>
      <w:r>
        <w:rPr>
          <w:sz w:val="24"/>
          <w:szCs w:val="24"/>
        </w:rPr>
        <w:t>This data sheet last evaluated: June 2014; last change in preferred values: June 2011.</w:t>
      </w:r>
    </w:p>
    <w:p>
      <w:pPr>
        <w:pStyle w:val="style0"/>
        <w:jc w:val="center"/>
      </w:pPr>
      <w:r>
        <w:rPr>
          <w:b/>
          <w:spacing w:val="-3"/>
          <w:sz w:val="24"/>
          <w:lang w:val="en-US"/>
        </w:rPr>
        <w:pict>
          <v:line from="-49pt,13.65pt" id="shape_0" style="position:absolute" to="546.15pt,13.65pt">
            <v:stroke color="black" endcap="flat" joinstyle="miter" weight="9360"/>
            <v:fill detectmouseclick="t"/>
          </v:line>
        </w:pict>
      </w:r>
    </w:p>
    <w:p>
      <w:pPr>
        <w:pStyle w:val="style0"/>
        <w:tabs>
          <w:tab w:leader="none" w:pos="4680" w:val="center"/>
        </w:tabs>
        <w:spacing w:line="240" w:lineRule="atLeast"/>
        <w:jc w:val="center"/>
      </w:pPr>
      <w:r>
        <w:rPr/>
      </w:r>
    </w:p>
    <w:p>
      <w:pPr>
        <w:pStyle w:val="style0"/>
        <w:tabs>
          <w:tab w:leader="none" w:pos="4680" w:val="center"/>
        </w:tabs>
        <w:spacing w:line="240" w:lineRule="atLeast"/>
        <w:jc w:val="center"/>
      </w:pPr>
      <w:r>
        <w:rPr>
          <w:b/>
          <w:spacing w:val="-3"/>
          <w:sz w:val="24"/>
          <w:lang w:val="pt-BR"/>
        </w:rPr>
        <w:t>Cl + CHCl</w:t>
      </w:r>
      <w:r>
        <w:rPr>
          <w:b/>
          <w:spacing w:val="-3"/>
          <w:sz w:val="24"/>
          <w:vertAlign w:val="subscript"/>
          <w:lang w:val="pt-BR"/>
        </w:rPr>
        <w:t>3</w:t>
      </w:r>
      <w:r>
        <w:rPr>
          <w:b/>
          <w:spacing w:val="-3"/>
          <w:sz w:val="24"/>
          <w:lang w:val="pt-BR"/>
        </w:rPr>
        <w:t xml:space="preserve"> </w:t>
      </w:r>
      <w:r>
        <w:rPr>
          <w:rFonts w:ascii="Symbol" w:hAnsi="Symbol"/>
          <w:b/>
          <w:spacing w:val="-3"/>
          <w:sz w:val="24"/>
          <w:lang w:val="en-US"/>
        </w:rPr>
        <w:t></w:t>
      </w:r>
      <w:r>
        <w:rPr>
          <w:b/>
          <w:spacing w:val="-3"/>
          <w:sz w:val="24"/>
          <w:lang w:val="pt-BR"/>
        </w:rPr>
        <w:t xml:space="preserve"> HCl + CCl</w:t>
      </w:r>
      <w:r>
        <w:rPr>
          <w:b/>
          <w:spacing w:val="-3"/>
          <w:sz w:val="24"/>
          <w:vertAlign w:val="subscript"/>
          <w:lang w:val="pt-BR"/>
        </w:rPr>
        <w:t>3</w:t>
      </w:r>
    </w:p>
    <w:p>
      <w:pPr>
        <w:pStyle w:val="style0"/>
        <w:tabs>
          <w:tab w:leader="none" w:pos="0" w:val="left"/>
          <w:tab w:leader="none" w:pos="288" w:val="left"/>
          <w:tab w:leader="none" w:pos="720" w:val="left"/>
        </w:tabs>
        <w:spacing w:line="240" w:lineRule="atLeast"/>
        <w:jc w:val="both"/>
      </w:pPr>
      <w:r>
        <w:rPr>
          <w:spacing w:val="-3"/>
          <w:sz w:val="24"/>
          <w:lang w:val="pt-BR"/>
        </w:rPr>
      </w:r>
    </w:p>
    <w:p>
      <w:pPr>
        <w:pStyle w:val="style0"/>
        <w:tabs>
          <w:tab w:leader="none" w:pos="595" w:val="left"/>
          <w:tab w:leader="none" w:pos="883" w:val="left"/>
          <w:tab w:leader="none" w:pos="1315" w:val="left"/>
        </w:tabs>
        <w:spacing w:line="240" w:lineRule="atLeast"/>
        <w:ind w:hanging="0" w:left="595" w:right="0"/>
        <w:jc w:val="both"/>
      </w:pPr>
      <w:r>
        <w:rPr>
          <w:rFonts w:ascii="Symbol" w:hAnsi="Symbol"/>
          <w:spacing w:val="-3"/>
          <w:sz w:val="24"/>
          <w:lang w:val="en-US"/>
        </w:rPr>
        <w:t></w:t>
      </w:r>
      <w:r>
        <w:rPr>
          <w:i/>
          <w:spacing w:val="-3"/>
          <w:sz w:val="24"/>
          <w:lang w:val="pt-BR"/>
        </w:rPr>
        <w:t>H</w:t>
      </w:r>
      <w:r>
        <w:rPr>
          <w:rFonts w:ascii="Symbol" w:hAnsi="Symbol"/>
          <w:spacing w:val="-3"/>
          <w:sz w:val="24"/>
          <w:lang w:val="en-US"/>
        </w:rPr>
        <w:t></w:t>
      </w:r>
      <w:r>
        <w:rPr>
          <w:spacing w:val="-3"/>
          <w:sz w:val="24"/>
          <w:lang w:val="pt-BR"/>
        </w:rPr>
        <w:t xml:space="preserve"> = -39.2 kJ mol</w:t>
      </w:r>
      <w:r>
        <w:rPr>
          <w:spacing w:val="-3"/>
          <w:sz w:val="24"/>
          <w:vertAlign w:val="superscript"/>
          <w:lang w:val="pt-BR"/>
        </w:rPr>
        <w:t>-1</w:t>
      </w:r>
    </w:p>
    <w:p>
      <w:pPr>
        <w:pStyle w:val="style0"/>
        <w:tabs>
          <w:tab w:leader="none" w:pos="0" w:val="left"/>
          <w:tab w:leader="none" w:pos="288" w:val="left"/>
          <w:tab w:leader="none" w:pos="720" w:val="left"/>
        </w:tabs>
        <w:spacing w:line="240" w:lineRule="atLeast"/>
        <w:jc w:val="both"/>
      </w:pPr>
      <w:r>
        <w:rPr>
          <w:spacing w:val="-3"/>
          <w:sz w:val="24"/>
          <w:lang w:val="pt-BR"/>
        </w:rPr>
      </w:r>
    </w:p>
    <w:p>
      <w:pPr>
        <w:pStyle w:val="style0"/>
        <w:tabs>
          <w:tab w:leader="none" w:pos="4680" w:val="center"/>
        </w:tabs>
        <w:spacing w:line="240" w:lineRule="atLeast"/>
        <w:jc w:val="center"/>
      </w:pPr>
      <w:r>
        <w:rPr>
          <w:b/>
          <w:spacing w:val="-3"/>
          <w:sz w:val="24"/>
          <w:lang w:val="en-US"/>
        </w:rPr>
        <w:t>Rate coefficient data</w:t>
      </w:r>
    </w:p>
    <w:p>
      <w:pPr>
        <w:pStyle w:val="style0"/>
        <w:tabs>
          <w:tab w:leader="none" w:pos="0" w:val="left"/>
          <w:tab w:leader="none" w:pos="288" w:val="left"/>
          <w:tab w:leader="none" w:pos="720" w:val="left"/>
        </w:tabs>
        <w:spacing w:line="240" w:lineRule="atLeast"/>
        <w:jc w:val="both"/>
      </w:pPr>
      <w:r>
        <w:rPr>
          <w:spacing w:val="-3"/>
          <w:sz w:val="24"/>
          <w:lang w:val="en-US"/>
        </w:rPr>
      </w:r>
    </w:p>
    <w:tbl>
      <w:tblPr>
        <w:jc w:val="left"/>
        <w:tblInd w:type="dxa" w:w="109"/>
        <w:tblBorders>
          <w:top w:color="000001" w:space="0" w:sz="2" w:val="double"/>
          <w:left w:val="none"/>
          <w:bottom w:color="000001" w:space="0" w:sz="4" w:val="single"/>
          <w:insideH w:color="000001" w:space="0" w:sz="4" w:val="single"/>
          <w:right w:val="none"/>
          <w:insideV w:val="none"/>
        </w:tblBorders>
        <w:tblCellMar>
          <w:top w:type="dxa" w:w="0"/>
          <w:left w:type="dxa" w:w="108"/>
          <w:bottom w:type="dxa" w:w="0"/>
          <w:right w:type="dxa" w:w="108"/>
        </w:tblCellMar>
      </w:tblPr>
      <w:tblGrid>
        <w:gridCol w:w="3374"/>
        <w:gridCol w:w="1189"/>
        <w:gridCol w:w="2172"/>
        <w:gridCol w:w="2012"/>
      </w:tblGrid>
      <w:tr>
        <w:trPr>
          <w:cantSplit w:val="false"/>
        </w:trPr>
        <w:tc>
          <w:tcPr>
            <w:tcW w:type="dxa" w:w="3374"/>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i/>
                <w:spacing w:val="-2"/>
                <w:lang w:val="en-US"/>
              </w:rPr>
              <w:t>k</w:t>
            </w:r>
            <w:r>
              <w:rPr>
                <w:spacing w:val="-2"/>
                <w:lang w:val="en-US"/>
              </w:rPr>
              <w:t>/cm</w:t>
            </w:r>
            <w:r>
              <w:rPr>
                <w:spacing w:val="-2"/>
                <w:vertAlign w:val="superscript"/>
                <w:lang w:val="en-US"/>
              </w:rPr>
              <w:t>3</w:t>
            </w:r>
            <w:r>
              <w:rPr>
                <w:spacing w:val="-2"/>
                <w:lang w:val="en-US"/>
              </w:rPr>
              <w:t xml:space="preserve"> molecule</w:t>
            </w:r>
            <w:r>
              <w:rPr>
                <w:spacing w:val="-2"/>
                <w:vertAlign w:val="superscript"/>
                <w:lang w:val="en-US"/>
              </w:rPr>
              <w:t>-1</w:t>
            </w:r>
            <w:r>
              <w:rPr>
                <w:spacing w:val="-2"/>
                <w:lang w:val="en-US"/>
              </w:rPr>
              <w:t xml:space="preserve"> s</w:t>
            </w:r>
            <w:r>
              <w:rPr>
                <w:spacing w:val="-2"/>
                <w:vertAlign w:val="superscript"/>
                <w:lang w:val="en-US"/>
              </w:rPr>
              <w:t>-1</w:t>
            </w:r>
            <w:r>
              <w:rPr>
                <w:spacing w:val="-2"/>
                <w:lang w:val="en-US"/>
              </w:rPr>
              <w:t xml:space="preserve"> </w:t>
            </w:r>
          </w:p>
        </w:tc>
        <w:tc>
          <w:tcPr>
            <w:tcW w:type="dxa" w:w="1189"/>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spacing w:val="-2"/>
                <w:lang w:val="en-US"/>
              </w:rPr>
              <w:t>Temp./K</w:t>
            </w:r>
          </w:p>
        </w:tc>
        <w:tc>
          <w:tcPr>
            <w:tcW w:type="dxa" w:w="2172"/>
            <w:tcBorders>
              <w:top w:color="000001" w:space="0" w:sz="2" w:val="double"/>
              <w:left w:val="none"/>
              <w:bottom w:color="000001" w:space="0" w:sz="4" w:val="single"/>
              <w:right w:val="none"/>
            </w:tcBorders>
            <w:shd w:fill="FFFFFF" w:val="clear"/>
          </w:tcPr>
          <w:p>
            <w:pPr>
              <w:pStyle w:val="style2"/>
              <w:numPr>
                <w:ilvl w:val="1"/>
                <w:numId w:val="1"/>
              </w:numPr>
              <w:spacing w:after="120" w:before="120"/>
              <w:contextualSpacing w:val="false"/>
            </w:pPr>
            <w:r>
              <w:rPr>
                <w:sz w:val="20"/>
              </w:rPr>
              <w:t>Reference</w:t>
            </w:r>
          </w:p>
        </w:tc>
        <w:tc>
          <w:tcPr>
            <w:tcW w:type="dxa" w:w="2012"/>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spacing w:val="-2"/>
                <w:lang w:val="en-US"/>
              </w:rPr>
              <w:t>Technique/ Comments</w:t>
            </w:r>
          </w:p>
        </w:tc>
      </w:tr>
      <w:tr>
        <w:trPr>
          <w:cantSplit w:val="false"/>
        </w:trPr>
        <w:tc>
          <w:tcPr>
            <w:tcW w:type="dxa" w:w="3374"/>
            <w:tcBorders>
              <w:top w:color="000001" w:space="0" w:sz="4" w:val="single"/>
              <w:left w:val="none"/>
              <w:bottom w:val="none"/>
              <w:right w:val="none"/>
            </w:tcBorders>
            <w:shd w:fill="FFFFFF" w:val="clear"/>
          </w:tcPr>
          <w:p>
            <w:pPr>
              <w:pStyle w:val="style0"/>
              <w:spacing w:after="0" w:before="120" w:line="264" w:lineRule="auto"/>
              <w:contextualSpacing w:val="false"/>
              <w:jc w:val="both"/>
            </w:pPr>
            <w:r>
              <w:rPr>
                <w:i/>
                <w:spacing w:val="-2"/>
                <w:lang w:val="en-US"/>
              </w:rPr>
              <w:t>Absolute Rate Coefficients</w:t>
            </w:r>
          </w:p>
        </w:tc>
        <w:tc>
          <w:tcPr>
            <w:tcW w:type="dxa" w:w="1189"/>
            <w:tcBorders>
              <w:top w:color="000001" w:space="0" w:sz="4" w:val="single"/>
              <w:left w:val="none"/>
              <w:bottom w:val="none"/>
              <w:right w:val="none"/>
            </w:tcBorders>
            <w:shd w:fill="FFFFFF" w:val="clear"/>
          </w:tcPr>
          <w:p>
            <w:pPr>
              <w:pStyle w:val="style0"/>
              <w:spacing w:after="0" w:before="120" w:line="264" w:lineRule="auto"/>
              <w:contextualSpacing w:val="false"/>
              <w:jc w:val="both"/>
            </w:pPr>
            <w:r>
              <w:rPr>
                <w:spacing w:val="-2"/>
                <w:lang w:val="en-US"/>
              </w:rPr>
            </w:r>
          </w:p>
        </w:tc>
        <w:tc>
          <w:tcPr>
            <w:tcW w:type="dxa" w:w="2172"/>
            <w:tcBorders>
              <w:top w:color="000001" w:space="0" w:sz="4" w:val="single"/>
              <w:left w:val="none"/>
              <w:bottom w:val="none"/>
              <w:right w:val="none"/>
            </w:tcBorders>
            <w:shd w:fill="FFFFFF" w:val="clear"/>
          </w:tcPr>
          <w:p>
            <w:pPr>
              <w:pStyle w:val="style0"/>
              <w:spacing w:after="0" w:before="120" w:line="264" w:lineRule="auto"/>
              <w:contextualSpacing w:val="false"/>
            </w:pPr>
            <w:r>
              <w:rPr>
                <w:spacing w:val="-2"/>
                <w:lang w:val="en-US"/>
              </w:rPr>
            </w:r>
          </w:p>
        </w:tc>
        <w:tc>
          <w:tcPr>
            <w:tcW w:type="dxa" w:w="2012"/>
            <w:tcBorders>
              <w:top w:color="000001" w:space="0" w:sz="4" w:val="single"/>
              <w:left w:val="none"/>
              <w:bottom w:val="none"/>
              <w:right w:val="none"/>
            </w:tcBorders>
            <w:shd w:fill="FFFFFF" w:val="clear"/>
          </w:tcPr>
          <w:p>
            <w:pPr>
              <w:pStyle w:val="style0"/>
              <w:spacing w:after="0" w:before="120" w:line="264" w:lineRule="auto"/>
              <w:contextualSpacing w:val="false"/>
              <w:jc w:val="center"/>
            </w:pPr>
            <w:r>
              <w:rPr>
                <w:spacing w:val="-2"/>
                <w:lang w:val="en-US"/>
              </w:rPr>
            </w:r>
          </w:p>
        </w:tc>
      </w:tr>
      <w:tr>
        <w:trPr>
          <w:cantSplit w:val="false"/>
        </w:trPr>
        <w:tc>
          <w:tcPr>
            <w:tcW w:type="dxa" w:w="3374"/>
            <w:tcBorders>
              <w:top w:val="none"/>
              <w:left w:val="none"/>
              <w:bottom w:val="none"/>
              <w:right w:val="none"/>
            </w:tcBorders>
            <w:shd w:fill="FFFFFF" w:val="clear"/>
          </w:tcPr>
          <w:p>
            <w:pPr>
              <w:pStyle w:val="style0"/>
              <w:spacing w:line="264" w:lineRule="auto"/>
              <w:jc w:val="both"/>
            </w:pPr>
            <w:r>
              <w:rPr>
                <w:spacing w:val="-2"/>
                <w:lang w:val="en-US"/>
              </w:rPr>
              <w:t>1.45 x 10</w:t>
            </w:r>
            <w:r>
              <w:rPr>
                <w:spacing w:val="-2"/>
                <w:vertAlign w:val="superscript"/>
                <w:lang w:val="en-US"/>
              </w:rPr>
              <w:t>-11</w:t>
            </w:r>
            <w:r>
              <w:rPr>
                <w:spacing w:val="-2"/>
                <w:lang w:val="en-US"/>
              </w:rPr>
              <w:t xml:space="preserve"> exp[-(1379 </w:t>
            </w:r>
            <w:r>
              <w:rPr>
                <w:rFonts w:ascii="Symbol" w:hAnsi="Symbol"/>
                <w:spacing w:val="-2"/>
                <w:lang w:val="en-US"/>
              </w:rPr>
              <w:t></w:t>
            </w:r>
            <w:r>
              <w:rPr>
                <w:spacing w:val="-2"/>
                <w:lang w:val="en-US"/>
              </w:rPr>
              <w:t xml:space="preserve"> 44)/</w:t>
            </w:r>
            <w:r>
              <w:rPr>
                <w:i/>
                <w:spacing w:val="-2"/>
                <w:lang w:val="en-US"/>
              </w:rPr>
              <w:t>T</w:t>
            </w:r>
            <w:r>
              <w:rPr>
                <w:spacing w:val="-2"/>
                <w:lang w:val="en-US"/>
              </w:rPr>
              <w:t>]</w:t>
            </w:r>
          </w:p>
        </w:tc>
        <w:tc>
          <w:tcPr>
            <w:tcW w:type="dxa" w:w="1189"/>
            <w:tcBorders>
              <w:top w:val="none"/>
              <w:left w:val="none"/>
              <w:bottom w:val="none"/>
              <w:right w:val="none"/>
            </w:tcBorders>
            <w:shd w:fill="FFFFFF" w:val="clear"/>
          </w:tcPr>
          <w:p>
            <w:pPr>
              <w:pStyle w:val="style0"/>
              <w:spacing w:line="264" w:lineRule="auto"/>
              <w:jc w:val="both"/>
            </w:pPr>
            <w:r>
              <w:rPr>
                <w:spacing w:val="-2"/>
                <w:lang w:val="en-US"/>
              </w:rPr>
              <w:t>297-652</w:t>
            </w:r>
          </w:p>
        </w:tc>
        <w:tc>
          <w:tcPr>
            <w:tcW w:type="dxa" w:w="2172"/>
            <w:tcBorders>
              <w:top w:val="none"/>
              <w:left w:val="none"/>
              <w:bottom w:val="none"/>
              <w:right w:val="none"/>
            </w:tcBorders>
            <w:shd w:fill="FFFFFF" w:val="clear"/>
          </w:tcPr>
          <w:p>
            <w:pPr>
              <w:pStyle w:val="style0"/>
              <w:spacing w:line="264" w:lineRule="auto"/>
              <w:ind w:hanging="0" w:left="3" w:right="-108"/>
            </w:pPr>
            <w:r>
              <w:rPr>
                <w:spacing w:val="-2"/>
                <w:lang w:val="en-US"/>
              </w:rPr>
              <w:t>Clyne and Walker, 1973</w:t>
            </w:r>
          </w:p>
        </w:tc>
        <w:tc>
          <w:tcPr>
            <w:tcW w:type="dxa" w:w="2012"/>
            <w:tcBorders>
              <w:top w:val="none"/>
              <w:left w:val="none"/>
              <w:bottom w:val="none"/>
              <w:right w:val="none"/>
            </w:tcBorders>
            <w:shd w:fill="FFFFFF" w:val="clear"/>
          </w:tcPr>
          <w:p>
            <w:pPr>
              <w:pStyle w:val="style0"/>
              <w:spacing w:line="264" w:lineRule="auto"/>
              <w:jc w:val="center"/>
            </w:pPr>
            <w:r>
              <w:rPr>
                <w:spacing w:val="-2"/>
                <w:lang w:val="en-US"/>
              </w:rPr>
              <w:t>DF-MS</w:t>
            </w:r>
          </w:p>
        </w:tc>
      </w:tr>
      <w:tr>
        <w:trPr>
          <w:cantSplit w:val="false"/>
        </w:trPr>
        <w:tc>
          <w:tcPr>
            <w:tcW w:type="dxa" w:w="3374"/>
            <w:tcBorders>
              <w:top w:val="none"/>
              <w:left w:val="none"/>
              <w:bottom w:val="none"/>
              <w:right w:val="none"/>
            </w:tcBorders>
            <w:shd w:fill="FFFFFF" w:val="clear"/>
          </w:tcPr>
          <w:p>
            <w:pPr>
              <w:pStyle w:val="style0"/>
              <w:spacing w:line="264" w:lineRule="auto"/>
              <w:jc w:val="both"/>
            </w:pPr>
            <w:r>
              <w:rPr>
                <w:spacing w:val="-2"/>
                <w:lang w:val="en-US"/>
              </w:rPr>
              <w:t xml:space="preserve">(1.47 </w:t>
            </w:r>
            <w:r>
              <w:rPr>
                <w:rFonts w:ascii="Symbol" w:hAnsi="Symbol"/>
                <w:spacing w:val="-2"/>
                <w:lang w:val="en-US"/>
              </w:rPr>
              <w:t></w:t>
            </w:r>
            <w:r>
              <w:rPr>
                <w:spacing w:val="-2"/>
                <w:lang w:val="en-US"/>
              </w:rPr>
              <w:t xml:space="preserve"> 0.35) x 10</w:t>
            </w:r>
            <w:r>
              <w:rPr>
                <w:spacing w:val="-2"/>
                <w:vertAlign w:val="superscript"/>
                <w:lang w:val="en-US"/>
              </w:rPr>
              <w:t>-13</w:t>
            </w:r>
          </w:p>
        </w:tc>
        <w:tc>
          <w:tcPr>
            <w:tcW w:type="dxa" w:w="1189"/>
            <w:tcBorders>
              <w:top w:val="none"/>
              <w:left w:val="none"/>
              <w:bottom w:val="none"/>
              <w:right w:val="none"/>
            </w:tcBorders>
            <w:shd w:fill="FFFFFF" w:val="clear"/>
          </w:tcPr>
          <w:p>
            <w:pPr>
              <w:pStyle w:val="style0"/>
              <w:spacing w:line="264" w:lineRule="auto"/>
              <w:jc w:val="both"/>
            </w:pPr>
            <w:r>
              <w:rPr>
                <w:spacing w:val="-2"/>
                <w:lang w:val="en-US"/>
              </w:rPr>
              <w:t>297</w:t>
            </w:r>
          </w:p>
        </w:tc>
        <w:tc>
          <w:tcPr>
            <w:tcW w:type="dxa" w:w="2172"/>
            <w:tcBorders>
              <w:top w:val="none"/>
              <w:left w:val="none"/>
              <w:bottom w:val="none"/>
              <w:right w:val="none"/>
            </w:tcBorders>
            <w:shd w:fill="FFFFFF" w:val="clear"/>
          </w:tcPr>
          <w:p>
            <w:pPr>
              <w:pStyle w:val="style0"/>
              <w:spacing w:line="264" w:lineRule="auto"/>
            </w:pPr>
            <w:r>
              <w:rPr>
                <w:spacing w:val="-2"/>
                <w:lang w:val="en-US"/>
              </w:rPr>
            </w:r>
          </w:p>
        </w:tc>
        <w:tc>
          <w:tcPr>
            <w:tcW w:type="dxa" w:w="2012"/>
            <w:tcBorders>
              <w:top w:val="none"/>
              <w:left w:val="none"/>
              <w:bottom w:val="none"/>
              <w:right w:val="none"/>
            </w:tcBorders>
            <w:shd w:fill="FFFFFF" w:val="clear"/>
          </w:tcPr>
          <w:p>
            <w:pPr>
              <w:pStyle w:val="style0"/>
              <w:spacing w:line="264" w:lineRule="auto"/>
              <w:jc w:val="center"/>
            </w:pPr>
            <w:r>
              <w:rPr>
                <w:spacing w:val="-2"/>
                <w:lang w:val="en-US"/>
              </w:rPr>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da-DK"/>
              </w:rPr>
              <w:t xml:space="preserve">(9.9 </w:t>
            </w:r>
            <w:r>
              <w:rPr>
                <w:rFonts w:ascii="Symbol" w:hAnsi="Symbol"/>
                <w:spacing w:val="-2"/>
                <w:lang w:val="en-US"/>
              </w:rPr>
              <w:t></w:t>
            </w:r>
            <w:r>
              <w:rPr>
                <w:spacing w:val="-2"/>
                <w:lang w:val="da-DK"/>
              </w:rPr>
              <w:t xml:space="preserve"> 0.9) x 10</w:t>
            </w:r>
            <w:r>
              <w:rPr>
                <w:spacing w:val="-2"/>
                <w:vertAlign w:val="superscript"/>
                <w:lang w:val="da-DK"/>
              </w:rPr>
              <w:t>-14</w:t>
            </w:r>
          </w:p>
        </w:tc>
        <w:tc>
          <w:tcPr>
            <w:tcW w:type="dxa" w:w="1189"/>
            <w:tcBorders>
              <w:top w:val="none"/>
              <w:left w:val="none"/>
              <w:bottom w:val="none"/>
              <w:right w:val="none"/>
            </w:tcBorders>
            <w:shd w:fill="FFFFFF" w:val="clear"/>
          </w:tcPr>
          <w:p>
            <w:pPr>
              <w:pStyle w:val="style0"/>
              <w:spacing w:line="263" w:lineRule="atLeast"/>
              <w:jc w:val="both"/>
            </w:pPr>
            <w:r>
              <w:rPr>
                <w:spacing w:val="-2"/>
                <w:lang w:val="da-DK"/>
              </w:rPr>
              <w:t>298</w:t>
            </w:r>
          </w:p>
        </w:tc>
        <w:tc>
          <w:tcPr>
            <w:tcW w:type="dxa" w:w="2172"/>
            <w:tcBorders>
              <w:top w:val="none"/>
              <w:left w:val="none"/>
              <w:bottom w:val="none"/>
              <w:right w:val="none"/>
            </w:tcBorders>
            <w:shd w:fill="FFFFFF" w:val="clear"/>
          </w:tcPr>
          <w:p>
            <w:pPr>
              <w:pStyle w:val="style0"/>
              <w:spacing w:line="263" w:lineRule="atLeast"/>
              <w:jc w:val="both"/>
            </w:pPr>
            <w:r>
              <w:rPr>
                <w:spacing w:val="-2"/>
                <w:lang w:val="da-DK"/>
              </w:rPr>
              <w:t>Watson et al. (1976)</w:t>
            </w:r>
          </w:p>
        </w:tc>
        <w:tc>
          <w:tcPr>
            <w:tcW w:type="dxa" w:w="2012"/>
            <w:tcBorders>
              <w:top w:val="none"/>
              <w:left w:val="none"/>
              <w:bottom w:val="none"/>
              <w:right w:val="none"/>
            </w:tcBorders>
            <w:shd w:fill="FFFFFF" w:val="clear"/>
          </w:tcPr>
          <w:p>
            <w:pPr>
              <w:pStyle w:val="style0"/>
              <w:spacing w:line="263" w:lineRule="atLeast"/>
              <w:jc w:val="center"/>
            </w:pPr>
            <w:r>
              <w:rPr>
                <w:spacing w:val="-2"/>
                <w:lang w:val="da-DK"/>
              </w:rPr>
              <w:t>FP-RF</w:t>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da-DK"/>
              </w:rPr>
              <w:t xml:space="preserve">(3.7 </w:t>
            </w:r>
            <w:r>
              <w:rPr>
                <w:rFonts w:ascii="Symbol" w:hAnsi="Symbol"/>
                <w:spacing w:val="-2"/>
                <w:lang w:val="en-US"/>
              </w:rPr>
              <w:t></w:t>
            </w:r>
            <w:r>
              <w:rPr>
                <w:spacing w:val="-2"/>
                <w:lang w:val="da-DK"/>
              </w:rPr>
              <w:t xml:space="preserve"> 1.0) x 10</w:t>
            </w:r>
            <w:r>
              <w:rPr>
                <w:spacing w:val="-2"/>
                <w:vertAlign w:val="superscript"/>
                <w:lang w:val="da-DK"/>
              </w:rPr>
              <w:t>-14</w:t>
            </w:r>
          </w:p>
        </w:tc>
        <w:tc>
          <w:tcPr>
            <w:tcW w:type="dxa" w:w="1189"/>
            <w:tcBorders>
              <w:top w:val="none"/>
              <w:left w:val="none"/>
              <w:bottom w:val="none"/>
              <w:right w:val="none"/>
            </w:tcBorders>
            <w:shd w:fill="FFFFFF" w:val="clear"/>
          </w:tcPr>
          <w:p>
            <w:pPr>
              <w:pStyle w:val="style0"/>
              <w:spacing w:line="263" w:lineRule="atLeast"/>
              <w:jc w:val="both"/>
            </w:pPr>
            <w:r>
              <w:rPr>
                <w:spacing w:val="-2"/>
                <w:lang w:val="da-DK"/>
              </w:rPr>
              <w:t>298</w:t>
            </w:r>
          </w:p>
        </w:tc>
        <w:tc>
          <w:tcPr>
            <w:tcW w:type="dxa" w:w="2172"/>
            <w:tcBorders>
              <w:top w:val="none"/>
              <w:left w:val="none"/>
              <w:bottom w:val="none"/>
              <w:right w:val="none"/>
            </w:tcBorders>
            <w:shd w:fill="FFFFFF" w:val="clear"/>
          </w:tcPr>
          <w:p>
            <w:pPr>
              <w:pStyle w:val="style0"/>
              <w:spacing w:line="263" w:lineRule="atLeast"/>
              <w:jc w:val="both"/>
            </w:pPr>
            <w:r>
              <w:rPr>
                <w:spacing w:val="-2"/>
                <w:lang w:val="da-DK"/>
              </w:rPr>
              <w:t>Jeoung et al., 1991</w:t>
            </w:r>
          </w:p>
        </w:tc>
        <w:tc>
          <w:tcPr>
            <w:tcW w:type="dxa" w:w="2012"/>
            <w:tcBorders>
              <w:top w:val="none"/>
              <w:left w:val="none"/>
              <w:bottom w:val="none"/>
              <w:right w:val="none"/>
            </w:tcBorders>
            <w:shd w:fill="FFFFFF" w:val="clear"/>
          </w:tcPr>
          <w:p>
            <w:pPr>
              <w:pStyle w:val="style0"/>
              <w:spacing w:line="263" w:lineRule="atLeast"/>
              <w:jc w:val="center"/>
            </w:pPr>
            <w:r>
              <w:rPr>
                <w:spacing w:val="-2"/>
                <w:lang w:val="da-DK"/>
              </w:rPr>
              <w:t>(a)</w:t>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da-DK"/>
              </w:rPr>
              <w:t xml:space="preserve">(1.1 </w:t>
            </w:r>
            <w:r>
              <w:rPr>
                <w:rFonts w:ascii="Symbol" w:hAnsi="Symbol"/>
                <w:spacing w:val="-2"/>
                <w:lang w:val="en-US"/>
              </w:rPr>
              <w:t></w:t>
            </w:r>
            <w:r>
              <w:rPr>
                <w:spacing w:val="-2"/>
                <w:lang w:val="da-DK"/>
              </w:rPr>
              <w:t xml:space="preserve"> 0.1) x 10</w:t>
            </w:r>
            <w:r>
              <w:rPr>
                <w:spacing w:val="-2"/>
                <w:vertAlign w:val="superscript"/>
                <w:lang w:val="da-DK"/>
              </w:rPr>
              <w:t>-13</w:t>
            </w:r>
          </w:p>
        </w:tc>
        <w:tc>
          <w:tcPr>
            <w:tcW w:type="dxa" w:w="1189"/>
            <w:tcBorders>
              <w:top w:val="none"/>
              <w:left w:val="none"/>
              <w:bottom w:val="none"/>
              <w:right w:val="none"/>
            </w:tcBorders>
            <w:shd w:fill="FFFFFF" w:val="clear"/>
          </w:tcPr>
          <w:p>
            <w:pPr>
              <w:pStyle w:val="style0"/>
              <w:spacing w:line="263" w:lineRule="atLeast"/>
              <w:jc w:val="both"/>
            </w:pPr>
            <w:r>
              <w:rPr>
                <w:spacing w:val="-2"/>
                <w:lang w:val="da-DK"/>
              </w:rPr>
              <w:t>298</w:t>
            </w:r>
          </w:p>
        </w:tc>
        <w:tc>
          <w:tcPr>
            <w:tcW w:type="dxa" w:w="2172"/>
            <w:tcBorders>
              <w:top w:val="none"/>
              <w:left w:val="none"/>
              <w:bottom w:val="none"/>
              <w:right w:val="none"/>
            </w:tcBorders>
            <w:shd w:fill="FFFFFF" w:val="clear"/>
          </w:tcPr>
          <w:p>
            <w:pPr>
              <w:pStyle w:val="style0"/>
              <w:spacing w:line="263" w:lineRule="atLeast"/>
              <w:jc w:val="both"/>
            </w:pPr>
            <w:r>
              <w:rPr>
                <w:spacing w:val="-2"/>
                <w:lang w:val="da-DK"/>
              </w:rPr>
              <w:t>Beichert et al., 1995</w:t>
            </w:r>
          </w:p>
        </w:tc>
        <w:tc>
          <w:tcPr>
            <w:tcW w:type="dxa" w:w="2012"/>
            <w:tcBorders>
              <w:top w:val="none"/>
              <w:left w:val="none"/>
              <w:bottom w:val="none"/>
              <w:right w:val="none"/>
            </w:tcBorders>
            <w:shd w:fill="FFFFFF" w:val="clear"/>
          </w:tcPr>
          <w:p>
            <w:pPr>
              <w:pStyle w:val="style0"/>
              <w:spacing w:line="263" w:lineRule="atLeast"/>
              <w:jc w:val="center"/>
            </w:pPr>
            <w:r>
              <w:rPr>
                <w:spacing w:val="-2"/>
                <w:lang w:val="da-DK"/>
              </w:rPr>
              <w:t>DF-RF</w:t>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da-DK"/>
              </w:rPr>
              <w:t>8.0 x 10</w:t>
            </w:r>
            <w:r>
              <w:rPr>
                <w:spacing w:val="-2"/>
                <w:vertAlign w:val="superscript"/>
                <w:lang w:val="da-DK"/>
              </w:rPr>
              <w:t>-12</w:t>
            </w:r>
            <w:r>
              <w:rPr>
                <w:spacing w:val="-2"/>
                <w:lang w:val="da-DK"/>
              </w:rPr>
              <w:t xml:space="preserve"> exp [-</w:t>
            </w:r>
            <w:r>
              <w:rPr>
                <w:spacing w:val="-2"/>
                <w:lang w:val="en-US"/>
              </w:rPr>
              <w:t xml:space="preserve">(1390 </w:t>
            </w:r>
            <w:r>
              <w:rPr>
                <w:rFonts w:ascii="Symbol" w:hAnsi="Symbol"/>
                <w:spacing w:val="-2"/>
                <w:lang w:val="en-US"/>
              </w:rPr>
              <w:t></w:t>
            </w:r>
            <w:r>
              <w:rPr>
                <w:spacing w:val="-2"/>
                <w:lang w:val="en-US"/>
              </w:rPr>
              <w:t xml:space="preserve"> 80)/</w:t>
            </w:r>
            <w:r>
              <w:rPr>
                <w:i/>
                <w:spacing w:val="-2"/>
                <w:lang w:val="en-US"/>
              </w:rPr>
              <w:t>T</w:t>
            </w:r>
            <w:r>
              <w:rPr>
                <w:spacing w:val="-2"/>
                <w:lang w:val="en-US"/>
              </w:rPr>
              <w:t>]</w:t>
            </w:r>
          </w:p>
        </w:tc>
        <w:tc>
          <w:tcPr>
            <w:tcW w:type="dxa" w:w="1189"/>
            <w:tcBorders>
              <w:top w:val="none"/>
              <w:left w:val="none"/>
              <w:bottom w:val="none"/>
              <w:right w:val="none"/>
            </w:tcBorders>
            <w:shd w:fill="FFFFFF" w:val="clear"/>
          </w:tcPr>
          <w:p>
            <w:pPr>
              <w:pStyle w:val="style0"/>
              <w:spacing w:line="263" w:lineRule="atLeast"/>
              <w:jc w:val="both"/>
            </w:pPr>
            <w:r>
              <w:rPr>
                <w:spacing w:val="-2"/>
                <w:lang w:val="en-US"/>
              </w:rPr>
              <w:t>298-430</w:t>
            </w:r>
          </w:p>
        </w:tc>
        <w:tc>
          <w:tcPr>
            <w:tcW w:type="dxa" w:w="2172"/>
            <w:tcBorders>
              <w:top w:val="none"/>
              <w:left w:val="none"/>
              <w:bottom w:val="none"/>
              <w:right w:val="none"/>
            </w:tcBorders>
            <w:shd w:fill="FFFFFF" w:val="clear"/>
          </w:tcPr>
          <w:p>
            <w:pPr>
              <w:pStyle w:val="style0"/>
              <w:spacing w:line="263" w:lineRule="atLeast"/>
              <w:jc w:val="both"/>
            </w:pPr>
            <w:r>
              <w:rPr>
                <w:spacing w:val="-2"/>
                <w:lang w:val="en-US"/>
              </w:rPr>
              <w:t>Talhaoui et al., 1996</w:t>
            </w:r>
          </w:p>
        </w:tc>
        <w:tc>
          <w:tcPr>
            <w:tcW w:type="dxa" w:w="2012"/>
            <w:tcBorders>
              <w:top w:val="none"/>
              <w:left w:val="none"/>
              <w:bottom w:val="none"/>
              <w:right w:val="none"/>
            </w:tcBorders>
            <w:shd w:fill="FFFFFF" w:val="clear"/>
          </w:tcPr>
          <w:p>
            <w:pPr>
              <w:pStyle w:val="style0"/>
              <w:spacing w:line="263" w:lineRule="atLeast"/>
              <w:jc w:val="center"/>
            </w:pPr>
            <w:r>
              <w:rPr>
                <w:spacing w:val="-2"/>
                <w:lang w:val="en-US"/>
              </w:rPr>
              <w:t>DF-MS</w:t>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en-US"/>
              </w:rPr>
              <w:t xml:space="preserve">(7.6 </w:t>
            </w:r>
            <w:r>
              <w:rPr>
                <w:rFonts w:ascii="Symbol" w:hAnsi="Symbol"/>
                <w:spacing w:val="-2"/>
                <w:lang w:val="en-US"/>
              </w:rPr>
              <w:t></w:t>
            </w:r>
            <w:r>
              <w:rPr>
                <w:spacing w:val="-2"/>
                <w:lang w:val="en-US"/>
              </w:rPr>
              <w:t xml:space="preserve"> 1.3) x 10</w:t>
            </w:r>
            <w:r>
              <w:rPr>
                <w:spacing w:val="-2"/>
                <w:vertAlign w:val="superscript"/>
                <w:lang w:val="en-US"/>
              </w:rPr>
              <w:t>-14</w:t>
            </w:r>
          </w:p>
        </w:tc>
        <w:tc>
          <w:tcPr>
            <w:tcW w:type="dxa" w:w="1189"/>
            <w:tcBorders>
              <w:top w:val="none"/>
              <w:left w:val="none"/>
              <w:bottom w:val="none"/>
              <w:right w:val="none"/>
            </w:tcBorders>
            <w:shd w:fill="FFFFFF" w:val="clear"/>
          </w:tcPr>
          <w:p>
            <w:pPr>
              <w:pStyle w:val="style0"/>
              <w:spacing w:line="263" w:lineRule="atLeast"/>
              <w:jc w:val="both"/>
            </w:pPr>
            <w:r>
              <w:rPr>
                <w:spacing w:val="-2"/>
                <w:lang w:val="en-US"/>
              </w:rPr>
              <w:t>298</w:t>
            </w:r>
          </w:p>
        </w:tc>
        <w:tc>
          <w:tcPr>
            <w:tcW w:type="dxa" w:w="2172"/>
            <w:tcBorders>
              <w:top w:val="none"/>
              <w:left w:val="none"/>
              <w:bottom w:val="none"/>
              <w:right w:val="none"/>
            </w:tcBorders>
            <w:shd w:fill="FFFFFF" w:val="clear"/>
          </w:tcPr>
          <w:p>
            <w:pPr>
              <w:pStyle w:val="style0"/>
              <w:spacing w:line="263" w:lineRule="atLeast"/>
              <w:jc w:val="both"/>
            </w:pPr>
            <w:r>
              <w:rPr>
                <w:spacing w:val="-2"/>
                <w:lang w:val="en-US"/>
              </w:rPr>
            </w:r>
          </w:p>
        </w:tc>
        <w:tc>
          <w:tcPr>
            <w:tcW w:type="dxa" w:w="2012"/>
            <w:tcBorders>
              <w:top w:val="none"/>
              <w:left w:val="none"/>
              <w:bottom w:val="none"/>
              <w:right w:val="none"/>
            </w:tcBorders>
            <w:shd w:fill="FFFFFF" w:val="clear"/>
          </w:tcPr>
          <w:p>
            <w:pPr>
              <w:pStyle w:val="style0"/>
              <w:spacing w:line="263" w:lineRule="atLeast"/>
              <w:jc w:val="center"/>
            </w:pPr>
            <w:r>
              <w:rPr>
                <w:spacing w:val="-2"/>
                <w:lang w:val="en-US"/>
              </w:rPr>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en-US"/>
              </w:rPr>
              <w:t>1.19 x 10</w:t>
            </w:r>
            <w:r>
              <w:rPr>
                <w:spacing w:val="-2"/>
                <w:vertAlign w:val="superscript"/>
                <w:lang w:val="en-US"/>
              </w:rPr>
              <w:t>-16</w:t>
            </w:r>
            <w:r>
              <w:rPr>
                <w:spacing w:val="-2"/>
                <w:lang w:val="en-US"/>
              </w:rPr>
              <w:t xml:space="preserve"> T</w:t>
            </w:r>
            <w:r>
              <w:rPr>
                <w:spacing w:val="-2"/>
                <w:vertAlign w:val="superscript"/>
                <w:lang w:val="en-US"/>
              </w:rPr>
              <w:t>1.51</w:t>
            </w:r>
            <w:r>
              <w:rPr>
                <w:spacing w:val="-2"/>
                <w:lang w:val="en-US"/>
              </w:rPr>
              <w:t xml:space="preserve"> exp (-571 /T)</w:t>
            </w:r>
          </w:p>
        </w:tc>
        <w:tc>
          <w:tcPr>
            <w:tcW w:type="dxa" w:w="1189"/>
            <w:tcBorders>
              <w:top w:val="none"/>
              <w:left w:val="none"/>
              <w:bottom w:val="none"/>
              <w:right w:val="none"/>
            </w:tcBorders>
            <w:shd w:fill="FFFFFF" w:val="clear"/>
          </w:tcPr>
          <w:p>
            <w:pPr>
              <w:pStyle w:val="style0"/>
              <w:spacing w:line="263" w:lineRule="atLeast"/>
              <w:jc w:val="both"/>
            </w:pPr>
            <w:r>
              <w:rPr>
                <w:spacing w:val="-2"/>
                <w:lang w:val="en-US"/>
              </w:rPr>
              <w:t>297-854</w:t>
            </w:r>
          </w:p>
        </w:tc>
        <w:tc>
          <w:tcPr>
            <w:tcW w:type="dxa" w:w="2172"/>
            <w:tcBorders>
              <w:top w:val="none"/>
              <w:left w:val="none"/>
              <w:bottom w:val="none"/>
              <w:right w:val="none"/>
            </w:tcBorders>
            <w:shd w:fill="FFFFFF" w:val="clear"/>
          </w:tcPr>
          <w:p>
            <w:pPr>
              <w:pStyle w:val="style0"/>
              <w:spacing w:line="263" w:lineRule="atLeast"/>
              <w:jc w:val="both"/>
            </w:pPr>
            <w:r>
              <w:rPr>
                <w:spacing w:val="-2"/>
                <w:lang w:val="en-US"/>
              </w:rPr>
              <w:t>Bryukov et al., 2002</w:t>
            </w:r>
          </w:p>
        </w:tc>
        <w:tc>
          <w:tcPr>
            <w:tcW w:type="dxa" w:w="2012"/>
            <w:tcBorders>
              <w:top w:val="none"/>
              <w:left w:val="none"/>
              <w:bottom w:val="none"/>
              <w:right w:val="none"/>
            </w:tcBorders>
            <w:shd w:fill="FFFFFF" w:val="clear"/>
          </w:tcPr>
          <w:p>
            <w:pPr>
              <w:pStyle w:val="style0"/>
              <w:spacing w:line="263" w:lineRule="atLeast"/>
              <w:jc w:val="center"/>
            </w:pPr>
            <w:r>
              <w:rPr>
                <w:spacing w:val="-2"/>
                <w:lang w:val="en-US"/>
              </w:rPr>
              <w:t>DF-RF</w:t>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en-US"/>
              </w:rPr>
              <w:t xml:space="preserve">(8.9 </w:t>
            </w:r>
            <w:r>
              <w:rPr>
                <w:rFonts w:ascii="Symbol" w:hAnsi="Symbol"/>
                <w:spacing w:val="-2"/>
                <w:lang w:val="en-US"/>
              </w:rPr>
              <w:t></w:t>
            </w:r>
            <w:r>
              <w:rPr>
                <w:spacing w:val="-2"/>
                <w:lang w:val="en-US"/>
              </w:rPr>
              <w:t xml:space="preserve"> 0.9) x 10</w:t>
            </w:r>
            <w:r>
              <w:rPr>
                <w:spacing w:val="-2"/>
                <w:vertAlign w:val="superscript"/>
                <w:lang w:val="en-US"/>
              </w:rPr>
              <w:t>-14</w:t>
            </w:r>
          </w:p>
        </w:tc>
        <w:tc>
          <w:tcPr>
            <w:tcW w:type="dxa" w:w="1189"/>
            <w:tcBorders>
              <w:top w:val="none"/>
              <w:left w:val="none"/>
              <w:bottom w:val="none"/>
              <w:right w:val="none"/>
            </w:tcBorders>
            <w:shd w:fill="FFFFFF" w:val="clear"/>
          </w:tcPr>
          <w:p>
            <w:pPr>
              <w:pStyle w:val="style0"/>
              <w:spacing w:line="263" w:lineRule="atLeast"/>
              <w:jc w:val="both"/>
            </w:pPr>
            <w:r>
              <w:rPr>
                <w:spacing w:val="-2"/>
                <w:lang w:val="en-US"/>
              </w:rPr>
              <w:t>297</w:t>
            </w:r>
          </w:p>
        </w:tc>
        <w:tc>
          <w:tcPr>
            <w:tcW w:type="dxa" w:w="2172"/>
            <w:tcBorders>
              <w:top w:val="none"/>
              <w:left w:val="none"/>
              <w:bottom w:val="none"/>
              <w:right w:val="none"/>
            </w:tcBorders>
            <w:shd w:fill="FFFFFF" w:val="clear"/>
          </w:tcPr>
          <w:p>
            <w:pPr>
              <w:pStyle w:val="style0"/>
              <w:spacing w:line="263" w:lineRule="atLeast"/>
              <w:jc w:val="both"/>
            </w:pPr>
            <w:r>
              <w:rPr>
                <w:spacing w:val="-2"/>
                <w:lang w:val="en-US"/>
              </w:rPr>
            </w:r>
          </w:p>
        </w:tc>
        <w:tc>
          <w:tcPr>
            <w:tcW w:type="dxa" w:w="2012"/>
            <w:tcBorders>
              <w:top w:val="none"/>
              <w:left w:val="none"/>
              <w:bottom w:val="none"/>
              <w:right w:val="none"/>
            </w:tcBorders>
            <w:shd w:fill="FFFFFF" w:val="clear"/>
          </w:tcPr>
          <w:p>
            <w:pPr>
              <w:pStyle w:val="style0"/>
              <w:spacing w:line="263" w:lineRule="atLeast"/>
              <w:jc w:val="both"/>
            </w:pPr>
            <w:r>
              <w:rPr>
                <w:spacing w:val="-2"/>
                <w:lang w:val="en-US"/>
              </w:rPr>
            </w:r>
          </w:p>
        </w:tc>
      </w:tr>
      <w:tr>
        <w:trPr>
          <w:cantSplit w:val="false"/>
        </w:trPr>
        <w:tc>
          <w:tcPr>
            <w:tcW w:type="dxa" w:w="3374"/>
            <w:tcBorders>
              <w:top w:val="none"/>
              <w:left w:val="none"/>
              <w:bottom w:val="none"/>
              <w:right w:val="none"/>
            </w:tcBorders>
            <w:shd w:fill="FFFFFF" w:val="clear"/>
          </w:tcPr>
          <w:p>
            <w:pPr>
              <w:pStyle w:val="style0"/>
              <w:spacing w:after="0" w:before="120" w:line="264" w:lineRule="auto"/>
              <w:contextualSpacing w:val="false"/>
              <w:jc w:val="both"/>
            </w:pPr>
            <w:r>
              <w:rPr>
                <w:i/>
                <w:spacing w:val="-2"/>
                <w:lang w:val="en-US"/>
              </w:rPr>
              <w:t>Relative Rate Coefficients</w:t>
            </w:r>
          </w:p>
        </w:tc>
        <w:tc>
          <w:tcPr>
            <w:tcW w:type="dxa" w:w="1189"/>
            <w:tcBorders>
              <w:top w:val="none"/>
              <w:left w:val="none"/>
              <w:bottom w:val="none"/>
              <w:right w:val="none"/>
            </w:tcBorders>
            <w:shd w:fill="FFFFFF" w:val="clear"/>
          </w:tcPr>
          <w:p>
            <w:pPr>
              <w:pStyle w:val="style0"/>
              <w:spacing w:after="0" w:before="120" w:line="264" w:lineRule="auto"/>
              <w:contextualSpacing w:val="false"/>
              <w:jc w:val="both"/>
            </w:pPr>
            <w:r>
              <w:rPr>
                <w:spacing w:val="-2"/>
                <w:lang w:val="en-US"/>
              </w:rPr>
            </w:r>
          </w:p>
        </w:tc>
        <w:tc>
          <w:tcPr>
            <w:tcW w:type="dxa" w:w="2172"/>
            <w:tcBorders>
              <w:top w:val="none"/>
              <w:left w:val="none"/>
              <w:bottom w:val="none"/>
              <w:right w:val="none"/>
            </w:tcBorders>
            <w:shd w:fill="FFFFFF" w:val="clear"/>
          </w:tcPr>
          <w:p>
            <w:pPr>
              <w:pStyle w:val="style0"/>
              <w:spacing w:after="0" w:before="120" w:line="264" w:lineRule="auto"/>
              <w:contextualSpacing w:val="false"/>
            </w:pPr>
            <w:r>
              <w:rPr>
                <w:spacing w:val="-2"/>
                <w:lang w:val="en-US"/>
              </w:rPr>
            </w:r>
          </w:p>
        </w:tc>
        <w:tc>
          <w:tcPr>
            <w:tcW w:type="dxa" w:w="2012"/>
            <w:tcBorders>
              <w:top w:val="none"/>
              <w:left w:val="none"/>
              <w:bottom w:val="none"/>
              <w:right w:val="none"/>
            </w:tcBorders>
            <w:shd w:fill="FFFFFF" w:val="clear"/>
          </w:tcPr>
          <w:p>
            <w:pPr>
              <w:pStyle w:val="style0"/>
              <w:spacing w:after="0" w:before="120" w:line="264" w:lineRule="auto"/>
              <w:contextualSpacing w:val="false"/>
              <w:jc w:val="center"/>
            </w:pPr>
            <w:r>
              <w:rPr>
                <w:spacing w:val="-2"/>
                <w:lang w:val="en-US"/>
              </w:rPr>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en-US"/>
              </w:rPr>
              <w:t>1.9 x 10</w:t>
            </w:r>
            <w:r>
              <w:rPr>
                <w:spacing w:val="-2"/>
                <w:vertAlign w:val="superscript"/>
                <w:lang w:val="en-US"/>
              </w:rPr>
              <w:t>-12</w:t>
            </w:r>
            <w:r>
              <w:rPr>
                <w:spacing w:val="-2"/>
                <w:lang w:val="en-US"/>
              </w:rPr>
              <w:t xml:space="preserve"> exp(-980/</w:t>
            </w:r>
            <w:r>
              <w:rPr>
                <w:i/>
                <w:spacing w:val="-2"/>
                <w:lang w:val="en-US"/>
              </w:rPr>
              <w:t>T</w:t>
            </w:r>
            <w:r>
              <w:rPr>
                <w:spacing w:val="-2"/>
                <w:lang w:val="en-US"/>
              </w:rPr>
              <w:t>)</w:t>
            </w:r>
          </w:p>
        </w:tc>
        <w:tc>
          <w:tcPr>
            <w:tcW w:type="dxa" w:w="1189"/>
            <w:tcBorders>
              <w:top w:val="none"/>
              <w:left w:val="none"/>
              <w:bottom w:val="none"/>
              <w:right w:val="none"/>
            </w:tcBorders>
            <w:shd w:fill="FFFFFF" w:val="clear"/>
          </w:tcPr>
          <w:p>
            <w:pPr>
              <w:pStyle w:val="style0"/>
              <w:spacing w:line="263" w:lineRule="atLeast"/>
              <w:jc w:val="both"/>
            </w:pPr>
            <w:r>
              <w:rPr>
                <w:spacing w:val="-2"/>
                <w:lang w:val="en-US"/>
              </w:rPr>
              <w:t>286-593</w:t>
            </w:r>
          </w:p>
        </w:tc>
        <w:tc>
          <w:tcPr>
            <w:tcW w:type="dxa" w:w="2172"/>
            <w:tcBorders>
              <w:top w:val="none"/>
              <w:left w:val="none"/>
              <w:bottom w:val="none"/>
              <w:right w:val="none"/>
            </w:tcBorders>
            <w:shd w:fill="FFFFFF" w:val="clear"/>
          </w:tcPr>
          <w:p>
            <w:pPr>
              <w:pStyle w:val="style0"/>
              <w:spacing w:line="263" w:lineRule="atLeast"/>
              <w:jc w:val="both"/>
            </w:pPr>
            <w:r>
              <w:rPr>
                <w:spacing w:val="-2"/>
                <w:lang w:val="en-US"/>
              </w:rPr>
              <w:t>Knox, 1962</w:t>
            </w:r>
          </w:p>
        </w:tc>
        <w:tc>
          <w:tcPr>
            <w:tcW w:type="dxa" w:w="2012"/>
            <w:tcBorders>
              <w:top w:val="none"/>
              <w:left w:val="none"/>
              <w:bottom w:val="none"/>
              <w:right w:val="none"/>
            </w:tcBorders>
            <w:shd w:fill="FFFFFF" w:val="clear"/>
          </w:tcPr>
          <w:p>
            <w:pPr>
              <w:pStyle w:val="style0"/>
              <w:spacing w:line="263" w:lineRule="atLeast"/>
              <w:jc w:val="center"/>
            </w:pPr>
            <w:r>
              <w:rPr>
                <w:spacing w:val="-2"/>
                <w:lang w:val="en-US"/>
              </w:rPr>
              <w:t>RR (b,c)</w:t>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en-US"/>
              </w:rPr>
              <w:t>6.9 x 10</w:t>
            </w:r>
            <w:r>
              <w:rPr>
                <w:spacing w:val="-2"/>
                <w:vertAlign w:val="superscript"/>
                <w:lang w:val="en-US"/>
              </w:rPr>
              <w:t>-14</w:t>
            </w:r>
          </w:p>
        </w:tc>
        <w:tc>
          <w:tcPr>
            <w:tcW w:type="dxa" w:w="1189"/>
            <w:tcBorders>
              <w:top w:val="none"/>
              <w:left w:val="none"/>
              <w:bottom w:val="none"/>
              <w:right w:val="none"/>
            </w:tcBorders>
            <w:shd w:fill="FFFFFF" w:val="clear"/>
          </w:tcPr>
          <w:p>
            <w:pPr>
              <w:pStyle w:val="style0"/>
              <w:spacing w:line="263" w:lineRule="atLeast"/>
              <w:jc w:val="both"/>
            </w:pPr>
            <w:r>
              <w:rPr>
                <w:spacing w:val="-2"/>
                <w:lang w:val="en-US"/>
              </w:rPr>
              <w:t>298</w:t>
            </w:r>
          </w:p>
        </w:tc>
        <w:tc>
          <w:tcPr>
            <w:tcW w:type="dxa" w:w="2172"/>
            <w:tcBorders>
              <w:top w:val="none"/>
              <w:left w:val="none"/>
              <w:bottom w:val="none"/>
              <w:right w:val="none"/>
            </w:tcBorders>
            <w:shd w:fill="FFFFFF" w:val="clear"/>
          </w:tcPr>
          <w:p>
            <w:pPr>
              <w:pStyle w:val="style0"/>
              <w:spacing w:line="263" w:lineRule="atLeast"/>
              <w:jc w:val="both"/>
            </w:pPr>
            <w:r>
              <w:rPr>
                <w:spacing w:val="-2"/>
                <w:lang w:val="en-US"/>
              </w:rPr>
            </w:r>
          </w:p>
        </w:tc>
        <w:tc>
          <w:tcPr>
            <w:tcW w:type="dxa" w:w="2012"/>
            <w:tcBorders>
              <w:top w:val="none"/>
              <w:left w:val="none"/>
              <w:bottom w:val="none"/>
              <w:right w:val="none"/>
            </w:tcBorders>
            <w:shd w:fill="FFFFFF" w:val="clear"/>
          </w:tcPr>
          <w:p>
            <w:pPr>
              <w:pStyle w:val="style0"/>
              <w:spacing w:line="263" w:lineRule="atLeast"/>
              <w:jc w:val="center"/>
            </w:pPr>
            <w:r>
              <w:rPr>
                <w:spacing w:val="-2"/>
                <w:lang w:val="en-US"/>
              </w:rPr>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de-DE"/>
              </w:rPr>
              <w:t>6.0 x 10</w:t>
            </w:r>
            <w:r>
              <w:rPr>
                <w:spacing w:val="-2"/>
                <w:vertAlign w:val="superscript"/>
                <w:lang w:val="de-DE"/>
              </w:rPr>
              <w:t>-12</w:t>
            </w:r>
            <w:r>
              <w:rPr>
                <w:spacing w:val="-2"/>
                <w:lang w:val="de-DE"/>
              </w:rPr>
              <w:t xml:space="preserve"> exp(-1280/</w:t>
            </w:r>
            <w:r>
              <w:rPr>
                <w:i/>
                <w:spacing w:val="-2"/>
                <w:lang w:val="de-DE"/>
              </w:rPr>
              <w:t>T</w:t>
            </w:r>
            <w:r>
              <w:rPr>
                <w:spacing w:val="-2"/>
                <w:lang w:val="de-DE"/>
              </w:rPr>
              <w:t>)</w:t>
            </w:r>
          </w:p>
        </w:tc>
        <w:tc>
          <w:tcPr>
            <w:tcW w:type="dxa" w:w="1189"/>
            <w:tcBorders>
              <w:top w:val="none"/>
              <w:left w:val="none"/>
              <w:bottom w:val="none"/>
              <w:right w:val="none"/>
            </w:tcBorders>
            <w:shd w:fill="FFFFFF" w:val="clear"/>
          </w:tcPr>
          <w:p>
            <w:pPr>
              <w:pStyle w:val="style0"/>
              <w:spacing w:line="263" w:lineRule="atLeast"/>
              <w:jc w:val="both"/>
            </w:pPr>
            <w:r>
              <w:rPr>
                <w:spacing w:val="-2"/>
                <w:lang w:val="de-DE"/>
              </w:rPr>
              <w:t>240-593</w:t>
            </w:r>
          </w:p>
        </w:tc>
        <w:tc>
          <w:tcPr>
            <w:tcW w:type="dxa" w:w="2172"/>
            <w:tcBorders>
              <w:top w:val="none"/>
              <w:left w:val="none"/>
              <w:bottom w:val="none"/>
              <w:right w:val="none"/>
            </w:tcBorders>
            <w:shd w:fill="FFFFFF" w:val="clear"/>
          </w:tcPr>
          <w:p>
            <w:pPr>
              <w:pStyle w:val="style0"/>
              <w:spacing w:line="263" w:lineRule="atLeast"/>
              <w:jc w:val="both"/>
            </w:pPr>
            <w:r>
              <w:rPr>
                <w:spacing w:val="-2"/>
                <w:lang w:val="de-DE"/>
              </w:rPr>
              <w:t>Knox, 1962</w:t>
            </w:r>
          </w:p>
        </w:tc>
        <w:tc>
          <w:tcPr>
            <w:tcW w:type="dxa" w:w="2012"/>
            <w:tcBorders>
              <w:top w:val="none"/>
              <w:left w:val="none"/>
              <w:bottom w:val="none"/>
              <w:right w:val="none"/>
            </w:tcBorders>
            <w:shd w:fill="FFFFFF" w:val="clear"/>
          </w:tcPr>
          <w:p>
            <w:pPr>
              <w:pStyle w:val="style0"/>
              <w:spacing w:line="263" w:lineRule="atLeast"/>
              <w:jc w:val="center"/>
            </w:pPr>
            <w:r>
              <w:rPr>
                <w:spacing w:val="-2"/>
                <w:lang w:val="de-DE"/>
              </w:rPr>
              <w:t>RR (b,d)</w:t>
            </w:r>
          </w:p>
        </w:tc>
      </w:tr>
      <w:tr>
        <w:trPr>
          <w:cantSplit w:val="false"/>
        </w:trPr>
        <w:tc>
          <w:tcPr>
            <w:tcW w:type="dxa" w:w="3374"/>
            <w:tcBorders>
              <w:top w:val="none"/>
              <w:left w:val="none"/>
              <w:bottom w:val="none"/>
              <w:right w:val="none"/>
            </w:tcBorders>
            <w:shd w:fill="FFFFFF" w:val="clear"/>
          </w:tcPr>
          <w:p>
            <w:pPr>
              <w:pStyle w:val="style0"/>
              <w:spacing w:line="264" w:lineRule="auto"/>
              <w:jc w:val="both"/>
            </w:pPr>
            <w:r>
              <w:rPr>
                <w:spacing w:val="-2"/>
                <w:lang w:val="de-DE"/>
              </w:rPr>
              <w:t>8.4 x 10</w:t>
            </w:r>
            <w:r>
              <w:rPr>
                <w:spacing w:val="-2"/>
                <w:vertAlign w:val="superscript"/>
                <w:lang w:val="de-DE"/>
              </w:rPr>
              <w:t>-14</w:t>
            </w:r>
          </w:p>
        </w:tc>
        <w:tc>
          <w:tcPr>
            <w:tcW w:type="dxa" w:w="1189"/>
            <w:tcBorders>
              <w:top w:val="none"/>
              <w:left w:val="none"/>
              <w:bottom w:val="none"/>
              <w:right w:val="none"/>
            </w:tcBorders>
            <w:shd w:fill="FFFFFF" w:val="clear"/>
          </w:tcPr>
          <w:p>
            <w:pPr>
              <w:pStyle w:val="style0"/>
              <w:spacing w:line="264" w:lineRule="auto"/>
              <w:jc w:val="both"/>
            </w:pPr>
            <w:r>
              <w:rPr>
                <w:spacing w:val="-2"/>
                <w:lang w:val="de-DE"/>
              </w:rPr>
              <w:t>298</w:t>
            </w:r>
          </w:p>
        </w:tc>
        <w:tc>
          <w:tcPr>
            <w:tcW w:type="dxa" w:w="2172"/>
            <w:tcBorders>
              <w:top w:val="none"/>
              <w:left w:val="none"/>
              <w:bottom w:val="none"/>
              <w:right w:val="none"/>
            </w:tcBorders>
            <w:shd w:fill="FFFFFF" w:val="clear"/>
          </w:tcPr>
          <w:p>
            <w:pPr>
              <w:pStyle w:val="style0"/>
              <w:spacing w:line="264" w:lineRule="auto"/>
              <w:jc w:val="both"/>
            </w:pPr>
            <w:r>
              <w:rPr>
                <w:spacing w:val="-2"/>
                <w:lang w:val="de-DE"/>
              </w:rPr>
            </w:r>
          </w:p>
        </w:tc>
        <w:tc>
          <w:tcPr>
            <w:tcW w:type="dxa" w:w="2012"/>
            <w:tcBorders>
              <w:top w:val="none"/>
              <w:left w:val="none"/>
              <w:bottom w:val="none"/>
              <w:right w:val="none"/>
            </w:tcBorders>
            <w:shd w:fill="FFFFFF" w:val="clear"/>
          </w:tcPr>
          <w:p>
            <w:pPr>
              <w:pStyle w:val="style0"/>
              <w:spacing w:line="264" w:lineRule="auto"/>
              <w:jc w:val="center"/>
            </w:pPr>
            <w:r>
              <w:rPr>
                <w:spacing w:val="-2"/>
                <w:lang w:val="de-DE"/>
              </w:rPr>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de-DE"/>
              </w:rPr>
              <w:t xml:space="preserve">(1.13 </w:t>
            </w:r>
            <w:r>
              <w:rPr>
                <w:rFonts w:ascii="Symbol" w:hAnsi="Symbol"/>
                <w:spacing w:val="-2"/>
                <w:lang w:val="en-US"/>
              </w:rPr>
              <w:t></w:t>
            </w:r>
            <w:r>
              <w:rPr>
                <w:spacing w:val="-2"/>
                <w:lang w:val="de-DE"/>
              </w:rPr>
              <w:t xml:space="preserve"> 0.07) x 10</w:t>
            </w:r>
            <w:r>
              <w:rPr>
                <w:spacing w:val="-2"/>
                <w:vertAlign w:val="superscript"/>
                <w:lang w:val="de-DE"/>
              </w:rPr>
              <w:t>-13</w:t>
            </w:r>
          </w:p>
        </w:tc>
        <w:tc>
          <w:tcPr>
            <w:tcW w:type="dxa" w:w="1189"/>
            <w:tcBorders>
              <w:top w:val="none"/>
              <w:left w:val="none"/>
              <w:bottom w:val="none"/>
              <w:right w:val="none"/>
            </w:tcBorders>
            <w:shd w:fill="FFFFFF" w:val="clear"/>
          </w:tcPr>
          <w:p>
            <w:pPr>
              <w:pStyle w:val="style0"/>
              <w:spacing w:line="263" w:lineRule="atLeast"/>
              <w:jc w:val="both"/>
            </w:pPr>
            <w:r>
              <w:rPr>
                <w:spacing w:val="-2"/>
                <w:lang w:val="de-DE"/>
              </w:rPr>
              <w:t>298</w:t>
            </w:r>
          </w:p>
        </w:tc>
        <w:tc>
          <w:tcPr>
            <w:tcW w:type="dxa" w:w="2172"/>
            <w:tcBorders>
              <w:top w:val="none"/>
              <w:left w:val="none"/>
              <w:bottom w:val="none"/>
              <w:right w:val="none"/>
            </w:tcBorders>
            <w:shd w:fill="FFFFFF" w:val="clear"/>
          </w:tcPr>
          <w:p>
            <w:pPr>
              <w:pStyle w:val="style0"/>
              <w:spacing w:line="263" w:lineRule="atLeast"/>
              <w:jc w:val="both"/>
            </w:pPr>
            <w:r>
              <w:rPr>
                <w:spacing w:val="-2"/>
                <w:lang w:val="de-DE"/>
              </w:rPr>
              <w:t>Beichert et al., 1995</w:t>
            </w:r>
          </w:p>
        </w:tc>
        <w:tc>
          <w:tcPr>
            <w:tcW w:type="dxa" w:w="2012"/>
            <w:tcBorders>
              <w:top w:val="none"/>
              <w:left w:val="none"/>
              <w:bottom w:val="none"/>
              <w:right w:val="none"/>
            </w:tcBorders>
            <w:shd w:fill="FFFFFF" w:val="clear"/>
          </w:tcPr>
          <w:p>
            <w:pPr>
              <w:pStyle w:val="style0"/>
              <w:spacing w:line="263" w:lineRule="atLeast"/>
              <w:jc w:val="center"/>
            </w:pPr>
            <w:r>
              <w:rPr>
                <w:spacing w:val="-2"/>
                <w:lang w:val="de-DE"/>
              </w:rPr>
              <w:t>RR (e)</w:t>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de-DE"/>
              </w:rPr>
              <w:t xml:space="preserve">(1.19 </w:t>
            </w:r>
            <w:r>
              <w:rPr>
                <w:rFonts w:ascii="Symbol" w:hAnsi="Symbol"/>
                <w:spacing w:val="-2"/>
                <w:lang w:val="en-US"/>
              </w:rPr>
              <w:t></w:t>
            </w:r>
            <w:r>
              <w:rPr>
                <w:spacing w:val="-2"/>
                <w:lang w:val="de-DE"/>
              </w:rPr>
              <w:t xml:space="preserve"> 0.13) x 10</w:t>
            </w:r>
            <w:r>
              <w:rPr>
                <w:spacing w:val="-2"/>
                <w:vertAlign w:val="superscript"/>
                <w:lang w:val="en-US"/>
              </w:rPr>
              <w:t>-13</w:t>
            </w:r>
          </w:p>
        </w:tc>
        <w:tc>
          <w:tcPr>
            <w:tcW w:type="dxa" w:w="1189"/>
            <w:tcBorders>
              <w:top w:val="none"/>
              <w:left w:val="none"/>
              <w:bottom w:val="none"/>
              <w:right w:val="none"/>
            </w:tcBorders>
            <w:shd w:fill="FFFFFF" w:val="clear"/>
          </w:tcPr>
          <w:p>
            <w:pPr>
              <w:pStyle w:val="style0"/>
              <w:spacing w:line="263" w:lineRule="atLeast"/>
              <w:jc w:val="both"/>
            </w:pPr>
            <w:r>
              <w:rPr>
                <w:spacing w:val="-2"/>
                <w:lang w:val="en-US"/>
              </w:rPr>
              <w:t>298</w:t>
            </w:r>
          </w:p>
        </w:tc>
        <w:tc>
          <w:tcPr>
            <w:tcW w:type="dxa" w:w="2172"/>
            <w:tcBorders>
              <w:top w:val="none"/>
              <w:left w:val="none"/>
              <w:bottom w:val="none"/>
              <w:right w:val="none"/>
            </w:tcBorders>
            <w:shd w:fill="FFFFFF" w:val="clear"/>
          </w:tcPr>
          <w:p>
            <w:pPr>
              <w:pStyle w:val="style0"/>
              <w:spacing w:line="263" w:lineRule="atLeast"/>
              <w:jc w:val="both"/>
            </w:pPr>
            <w:r>
              <w:rPr>
                <w:spacing w:val="-2"/>
                <w:lang w:val="en-US"/>
              </w:rPr>
              <w:t>Brahan et al., 1996</w:t>
            </w:r>
          </w:p>
        </w:tc>
        <w:tc>
          <w:tcPr>
            <w:tcW w:type="dxa" w:w="2012"/>
            <w:tcBorders>
              <w:top w:val="none"/>
              <w:left w:val="none"/>
              <w:bottom w:val="none"/>
              <w:right w:val="none"/>
            </w:tcBorders>
            <w:shd w:fill="FFFFFF" w:val="clear"/>
          </w:tcPr>
          <w:p>
            <w:pPr>
              <w:pStyle w:val="style0"/>
              <w:spacing w:line="263" w:lineRule="atLeast"/>
              <w:jc w:val="center"/>
            </w:pPr>
            <w:r>
              <w:rPr>
                <w:spacing w:val="-2"/>
                <w:lang w:val="en-US"/>
              </w:rPr>
              <w:t>RR (f)</w:t>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en-US"/>
              </w:rPr>
              <w:t xml:space="preserve">(1.1 </w:t>
            </w:r>
            <w:r>
              <w:rPr>
                <w:rFonts w:ascii="Symbol" w:hAnsi="Symbol"/>
                <w:spacing w:val="-2"/>
                <w:lang w:val="en-US"/>
              </w:rPr>
              <w:t></w:t>
            </w:r>
            <w:r>
              <w:rPr>
                <w:spacing w:val="-2"/>
                <w:lang w:val="en-US"/>
              </w:rPr>
              <w:t xml:space="preserve"> 0.1) x 10</w:t>
            </w:r>
            <w:r>
              <w:rPr>
                <w:spacing w:val="-2"/>
                <w:vertAlign w:val="superscript"/>
                <w:lang w:val="en-US"/>
              </w:rPr>
              <w:t>-13</w:t>
            </w:r>
          </w:p>
        </w:tc>
        <w:tc>
          <w:tcPr>
            <w:tcW w:type="dxa" w:w="1189"/>
            <w:tcBorders>
              <w:top w:val="none"/>
              <w:left w:val="none"/>
              <w:bottom w:val="none"/>
              <w:right w:val="none"/>
            </w:tcBorders>
            <w:shd w:fill="FFFFFF" w:val="clear"/>
          </w:tcPr>
          <w:p>
            <w:pPr>
              <w:pStyle w:val="style0"/>
              <w:spacing w:line="263" w:lineRule="atLeast"/>
              <w:jc w:val="both"/>
            </w:pPr>
            <w:r>
              <w:rPr>
                <w:spacing w:val="-2"/>
                <w:lang w:val="en-US"/>
              </w:rPr>
              <w:t>298</w:t>
            </w:r>
          </w:p>
        </w:tc>
        <w:tc>
          <w:tcPr>
            <w:tcW w:type="dxa" w:w="2172"/>
            <w:tcBorders>
              <w:top w:val="none"/>
              <w:left w:val="none"/>
              <w:bottom w:val="none"/>
              <w:right w:val="none"/>
            </w:tcBorders>
            <w:shd w:fill="FFFFFF" w:val="clear"/>
          </w:tcPr>
          <w:p>
            <w:pPr>
              <w:pStyle w:val="style0"/>
              <w:spacing w:line="263" w:lineRule="atLeast"/>
              <w:jc w:val="both"/>
            </w:pPr>
            <w:r>
              <w:rPr>
                <w:spacing w:val="-2"/>
                <w:lang w:val="en-US"/>
              </w:rPr>
              <w:t>Catoire et al., 1996</w:t>
            </w:r>
          </w:p>
        </w:tc>
        <w:tc>
          <w:tcPr>
            <w:tcW w:type="dxa" w:w="2012"/>
            <w:tcBorders>
              <w:top w:val="none"/>
              <w:left w:val="none"/>
              <w:bottom w:val="none"/>
              <w:right w:val="none"/>
            </w:tcBorders>
            <w:shd w:fill="FFFFFF" w:val="clear"/>
          </w:tcPr>
          <w:p>
            <w:pPr>
              <w:pStyle w:val="style0"/>
              <w:spacing w:line="263" w:lineRule="atLeast"/>
              <w:jc w:val="center"/>
            </w:pPr>
            <w:r>
              <w:rPr>
                <w:spacing w:val="-2"/>
                <w:lang w:val="en-US"/>
              </w:rPr>
              <w:t>RR (g)</w:t>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en-US"/>
              </w:rPr>
              <w:t>2.9 x 10</w:t>
            </w:r>
            <w:r>
              <w:rPr>
                <w:spacing w:val="-2"/>
                <w:vertAlign w:val="superscript"/>
                <w:lang w:val="en-US"/>
              </w:rPr>
              <w:t>-12</w:t>
            </w:r>
            <w:r>
              <w:rPr>
                <w:spacing w:val="-2"/>
                <w:lang w:val="en-US"/>
              </w:rPr>
              <w:t xml:space="preserve"> exp (-950/</w:t>
            </w:r>
            <w:r>
              <w:rPr>
                <w:i/>
                <w:iCs/>
                <w:spacing w:val="-2"/>
                <w:lang w:val="en-US"/>
              </w:rPr>
              <w:t>T</w:t>
            </w:r>
            <w:r>
              <w:rPr>
                <w:spacing w:val="-2"/>
                <w:lang w:val="en-US"/>
              </w:rPr>
              <w:t>)</w:t>
            </w:r>
          </w:p>
        </w:tc>
        <w:tc>
          <w:tcPr>
            <w:tcW w:type="dxa" w:w="1189"/>
            <w:tcBorders>
              <w:top w:val="none"/>
              <w:left w:val="none"/>
              <w:bottom w:val="none"/>
              <w:right w:val="none"/>
            </w:tcBorders>
            <w:shd w:fill="FFFFFF" w:val="clear"/>
          </w:tcPr>
          <w:p>
            <w:pPr>
              <w:pStyle w:val="style0"/>
              <w:spacing w:line="263" w:lineRule="atLeast"/>
              <w:jc w:val="both"/>
            </w:pPr>
            <w:r>
              <w:rPr>
                <w:spacing w:val="-2"/>
                <w:lang w:val="en-US"/>
              </w:rPr>
              <w:t>222-298</w:t>
            </w:r>
          </w:p>
        </w:tc>
        <w:tc>
          <w:tcPr>
            <w:tcW w:type="dxa" w:w="2172"/>
            <w:tcBorders>
              <w:top w:val="none"/>
              <w:left w:val="none"/>
              <w:bottom w:val="none"/>
              <w:right w:val="none"/>
            </w:tcBorders>
            <w:shd w:fill="FFFFFF" w:val="clear"/>
          </w:tcPr>
          <w:p>
            <w:pPr>
              <w:pStyle w:val="style0"/>
              <w:spacing w:line="263" w:lineRule="atLeast"/>
              <w:jc w:val="both"/>
            </w:pPr>
            <w:r>
              <w:rPr>
                <w:spacing w:val="-2"/>
                <w:lang w:val="en-US"/>
              </w:rPr>
              <w:t>Orlando, 1999</w:t>
            </w:r>
          </w:p>
        </w:tc>
        <w:tc>
          <w:tcPr>
            <w:tcW w:type="dxa" w:w="2012"/>
            <w:tcBorders>
              <w:top w:val="none"/>
              <w:left w:val="none"/>
              <w:bottom w:val="none"/>
              <w:right w:val="none"/>
            </w:tcBorders>
            <w:shd w:fill="FFFFFF" w:val="clear"/>
          </w:tcPr>
          <w:p>
            <w:pPr>
              <w:pStyle w:val="style0"/>
              <w:spacing w:line="263" w:lineRule="atLeast"/>
              <w:jc w:val="center"/>
            </w:pPr>
            <w:r>
              <w:rPr>
                <w:spacing w:val="-2"/>
                <w:lang w:val="en-US"/>
              </w:rPr>
              <w:t>RR (h)</w:t>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en-US"/>
              </w:rPr>
              <w:t>1.18 x 10</w:t>
            </w:r>
            <w:r>
              <w:rPr>
                <w:spacing w:val="-2"/>
                <w:vertAlign w:val="superscript"/>
                <w:lang w:val="en-US"/>
              </w:rPr>
              <w:t>-13</w:t>
            </w:r>
          </w:p>
        </w:tc>
        <w:tc>
          <w:tcPr>
            <w:tcW w:type="dxa" w:w="1189"/>
            <w:tcBorders>
              <w:top w:val="none"/>
              <w:left w:val="none"/>
              <w:bottom w:val="none"/>
              <w:right w:val="none"/>
            </w:tcBorders>
            <w:shd w:fill="FFFFFF" w:val="clear"/>
          </w:tcPr>
          <w:p>
            <w:pPr>
              <w:pStyle w:val="style0"/>
              <w:spacing w:line="263" w:lineRule="atLeast"/>
              <w:jc w:val="both"/>
            </w:pPr>
            <w:r>
              <w:rPr>
                <w:spacing w:val="-2"/>
                <w:lang w:val="en-US"/>
              </w:rPr>
              <w:t>298</w:t>
            </w:r>
          </w:p>
        </w:tc>
        <w:tc>
          <w:tcPr>
            <w:tcW w:type="dxa" w:w="2172"/>
            <w:tcBorders>
              <w:top w:val="none"/>
              <w:left w:val="none"/>
              <w:bottom w:val="none"/>
              <w:right w:val="none"/>
            </w:tcBorders>
            <w:shd w:fill="FFFFFF" w:val="clear"/>
          </w:tcPr>
          <w:p>
            <w:pPr>
              <w:pStyle w:val="style0"/>
              <w:spacing w:line="263" w:lineRule="atLeast"/>
              <w:jc w:val="both"/>
            </w:pPr>
            <w:r>
              <w:rPr>
                <w:color w:val="FF0000"/>
                <w:spacing w:val="-2"/>
                <w:lang w:val="en-US"/>
              </w:rPr>
            </w:r>
          </w:p>
        </w:tc>
        <w:tc>
          <w:tcPr>
            <w:tcW w:type="dxa" w:w="2012"/>
            <w:tcBorders>
              <w:top w:val="none"/>
              <w:left w:val="none"/>
              <w:bottom w:val="none"/>
              <w:right w:val="none"/>
            </w:tcBorders>
            <w:shd w:fill="FFFFFF" w:val="clear"/>
          </w:tcPr>
          <w:p>
            <w:pPr>
              <w:pStyle w:val="style0"/>
              <w:spacing w:line="263" w:lineRule="atLeast"/>
              <w:jc w:val="both"/>
            </w:pPr>
            <w:r>
              <w:rPr>
                <w:spacing w:val="-2"/>
                <w:lang w:val="en-US"/>
              </w:rPr>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en-US"/>
              </w:rPr>
              <w:t>4.8 x 10</w:t>
            </w:r>
            <w:r>
              <w:rPr>
                <w:spacing w:val="-2"/>
                <w:vertAlign w:val="superscript"/>
                <w:lang w:val="en-US"/>
              </w:rPr>
              <w:t>-12</w:t>
            </w:r>
            <w:r>
              <w:rPr>
                <w:spacing w:val="-2"/>
                <w:lang w:val="en-US"/>
              </w:rPr>
              <w:t xml:space="preserve"> exp (-1160/</w:t>
            </w:r>
            <w:r>
              <w:rPr>
                <w:i/>
                <w:iCs/>
                <w:spacing w:val="-2"/>
                <w:lang w:val="en-US"/>
              </w:rPr>
              <w:t>T</w:t>
            </w:r>
            <w:r>
              <w:rPr>
                <w:spacing w:val="-2"/>
                <w:lang w:val="en-US"/>
              </w:rPr>
              <w:t>)</w:t>
            </w:r>
          </w:p>
        </w:tc>
        <w:tc>
          <w:tcPr>
            <w:tcW w:type="dxa" w:w="1189"/>
            <w:tcBorders>
              <w:top w:val="none"/>
              <w:left w:val="none"/>
              <w:bottom w:val="none"/>
              <w:right w:val="none"/>
            </w:tcBorders>
            <w:shd w:fill="FFFFFF" w:val="clear"/>
          </w:tcPr>
          <w:p>
            <w:pPr>
              <w:pStyle w:val="style0"/>
              <w:spacing w:line="263" w:lineRule="atLeast"/>
              <w:jc w:val="both"/>
            </w:pPr>
            <w:r>
              <w:rPr>
                <w:spacing w:val="-2"/>
                <w:lang w:val="en-US"/>
              </w:rPr>
              <w:t>297.3-526.9</w:t>
            </w:r>
          </w:p>
        </w:tc>
        <w:tc>
          <w:tcPr>
            <w:tcW w:type="dxa" w:w="2172"/>
            <w:tcBorders>
              <w:top w:val="none"/>
              <w:left w:val="none"/>
              <w:bottom w:val="none"/>
              <w:right w:val="none"/>
            </w:tcBorders>
            <w:shd w:fill="FFFFFF" w:val="clear"/>
          </w:tcPr>
          <w:p>
            <w:pPr>
              <w:pStyle w:val="style0"/>
              <w:spacing w:line="263" w:lineRule="atLeast"/>
              <w:jc w:val="both"/>
            </w:pPr>
            <w:r>
              <w:rPr>
                <w:spacing w:val="-2"/>
                <w:lang w:val="en-US"/>
              </w:rPr>
              <w:t>Gola et al., 2009</w:t>
            </w:r>
          </w:p>
        </w:tc>
        <w:tc>
          <w:tcPr>
            <w:tcW w:type="dxa" w:w="2012"/>
            <w:tcBorders>
              <w:top w:val="none"/>
              <w:left w:val="none"/>
              <w:bottom w:val="none"/>
              <w:right w:val="none"/>
            </w:tcBorders>
            <w:shd w:fill="FFFFFF" w:val="clear"/>
          </w:tcPr>
          <w:p>
            <w:pPr>
              <w:pStyle w:val="style0"/>
              <w:spacing w:line="263" w:lineRule="atLeast"/>
              <w:jc w:val="both"/>
            </w:pPr>
            <w:r>
              <w:rPr>
                <w:spacing w:val="-2"/>
                <w:lang w:val="en-US"/>
              </w:rPr>
              <w:t>RR (i)</w:t>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en-US"/>
              </w:rPr>
              <w:t>1.04 x 10</w:t>
            </w:r>
            <w:r>
              <w:rPr>
                <w:spacing w:val="-2"/>
                <w:vertAlign w:val="superscript"/>
                <w:lang w:val="en-US"/>
              </w:rPr>
              <w:t>-13</w:t>
            </w:r>
          </w:p>
        </w:tc>
        <w:tc>
          <w:tcPr>
            <w:tcW w:type="dxa" w:w="1189"/>
            <w:tcBorders>
              <w:top w:val="none"/>
              <w:left w:val="none"/>
              <w:bottom w:val="none"/>
              <w:right w:val="none"/>
            </w:tcBorders>
            <w:shd w:fill="FFFFFF" w:val="clear"/>
          </w:tcPr>
          <w:p>
            <w:pPr>
              <w:pStyle w:val="style0"/>
              <w:spacing w:line="263" w:lineRule="atLeast"/>
              <w:jc w:val="both"/>
            </w:pPr>
            <w:r>
              <w:rPr>
                <w:spacing w:val="-2"/>
                <w:lang w:val="en-US"/>
              </w:rPr>
              <w:t>297.3</w:t>
            </w:r>
          </w:p>
        </w:tc>
        <w:tc>
          <w:tcPr>
            <w:tcW w:type="dxa" w:w="2172"/>
            <w:tcBorders>
              <w:top w:val="none"/>
              <w:left w:val="none"/>
              <w:bottom w:val="none"/>
              <w:right w:val="none"/>
            </w:tcBorders>
            <w:shd w:fill="FFFFFF" w:val="clear"/>
          </w:tcPr>
          <w:p>
            <w:pPr>
              <w:pStyle w:val="style0"/>
              <w:spacing w:line="263" w:lineRule="atLeast"/>
              <w:jc w:val="both"/>
            </w:pPr>
            <w:r>
              <w:rPr>
                <w:spacing w:val="-2"/>
                <w:lang w:val="en-US"/>
              </w:rPr>
            </w:r>
          </w:p>
        </w:tc>
        <w:tc>
          <w:tcPr>
            <w:tcW w:type="dxa" w:w="2012"/>
            <w:tcBorders>
              <w:top w:val="none"/>
              <w:left w:val="none"/>
              <w:bottom w:val="none"/>
              <w:right w:val="none"/>
            </w:tcBorders>
            <w:shd w:fill="FFFFFF" w:val="clear"/>
          </w:tcPr>
          <w:p>
            <w:pPr>
              <w:pStyle w:val="style0"/>
              <w:spacing w:line="263" w:lineRule="atLeast"/>
              <w:jc w:val="both"/>
            </w:pPr>
            <w:r>
              <w:rPr>
                <w:spacing w:val="-2"/>
                <w:lang w:val="en-US"/>
              </w:rPr>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en-US"/>
              </w:rPr>
              <w:t>(3.77</w:t>
            </w:r>
            <w:r>
              <w:rPr>
                <w:rFonts w:ascii="Symbol" w:hAnsi="Symbol"/>
                <w:spacing w:val="-2"/>
                <w:lang w:val="en-US"/>
              </w:rPr>
              <w:t></w:t>
            </w:r>
            <w:r>
              <w:rPr>
                <w:spacing w:val="-2"/>
                <w:lang w:val="en-US"/>
              </w:rPr>
              <w:t>0.32)x10</w:t>
            </w:r>
            <w:r>
              <w:rPr>
                <w:spacing w:val="-2"/>
                <w:vertAlign w:val="superscript"/>
                <w:lang w:val="en-US"/>
              </w:rPr>
              <w:t>-12</w:t>
            </w:r>
            <w:r>
              <w:rPr>
                <w:spacing w:val="-2"/>
                <w:lang w:val="en-US"/>
              </w:rPr>
              <w:t>exp[-(1011</w:t>
            </w:r>
            <w:r>
              <w:rPr>
                <w:rFonts w:ascii="Symbol" w:hAnsi="Symbol"/>
                <w:spacing w:val="-2"/>
                <w:lang w:val="en-US"/>
              </w:rPr>
              <w:t></w:t>
            </w:r>
            <w:r>
              <w:rPr>
                <w:spacing w:val="-2"/>
                <w:lang w:val="en-US"/>
              </w:rPr>
              <w:t>24)/</w:t>
            </w:r>
            <w:r>
              <w:rPr>
                <w:i/>
                <w:spacing w:val="-2"/>
                <w:lang w:val="en-US"/>
              </w:rPr>
              <w:t>T</w:t>
            </w:r>
            <w:r>
              <w:rPr>
                <w:spacing w:val="-2"/>
                <w:lang w:val="en-US"/>
              </w:rPr>
              <w:t>]</w:t>
            </w:r>
          </w:p>
        </w:tc>
        <w:tc>
          <w:tcPr>
            <w:tcW w:type="dxa" w:w="1189"/>
            <w:tcBorders>
              <w:top w:val="none"/>
              <w:left w:val="none"/>
              <w:bottom w:val="none"/>
              <w:right w:val="none"/>
            </w:tcBorders>
            <w:shd w:fill="FFFFFF" w:val="clear"/>
          </w:tcPr>
          <w:p>
            <w:pPr>
              <w:pStyle w:val="style0"/>
              <w:spacing w:line="263" w:lineRule="atLeast"/>
              <w:jc w:val="both"/>
            </w:pPr>
            <w:r>
              <w:rPr>
                <w:spacing w:val="-2"/>
                <w:lang w:val="en-US"/>
              </w:rPr>
              <w:t>253-313</w:t>
            </w:r>
          </w:p>
        </w:tc>
        <w:tc>
          <w:tcPr>
            <w:tcW w:type="dxa" w:w="2172"/>
            <w:tcBorders>
              <w:top w:val="none"/>
              <w:left w:val="none"/>
              <w:bottom w:val="none"/>
              <w:right w:val="none"/>
            </w:tcBorders>
            <w:shd w:fill="FFFFFF" w:val="clear"/>
          </w:tcPr>
          <w:p>
            <w:pPr>
              <w:pStyle w:val="style0"/>
              <w:spacing w:line="263" w:lineRule="atLeast"/>
              <w:jc w:val="both"/>
            </w:pPr>
            <w:r>
              <w:rPr>
                <w:spacing w:val="-2"/>
                <w:lang w:val="en-US"/>
              </w:rPr>
              <w:t>Nilsson et al., 2010</w:t>
            </w:r>
          </w:p>
        </w:tc>
        <w:tc>
          <w:tcPr>
            <w:tcW w:type="dxa" w:w="2012"/>
            <w:tcBorders>
              <w:top w:val="none"/>
              <w:left w:val="none"/>
              <w:bottom w:val="none"/>
              <w:right w:val="none"/>
            </w:tcBorders>
            <w:shd w:fill="FFFFFF" w:val="clear"/>
          </w:tcPr>
          <w:p>
            <w:pPr>
              <w:pStyle w:val="style0"/>
              <w:spacing w:line="263" w:lineRule="atLeast"/>
              <w:jc w:val="both"/>
            </w:pPr>
            <w:r>
              <w:rPr>
                <w:spacing w:val="-2"/>
                <w:lang w:val="en-US"/>
              </w:rPr>
              <w:t>RR (j)</w:t>
            </w:r>
          </w:p>
        </w:tc>
      </w:tr>
      <w:tr>
        <w:trPr>
          <w:cantSplit w:val="false"/>
        </w:trPr>
        <w:tc>
          <w:tcPr>
            <w:tcW w:type="dxa" w:w="3374"/>
            <w:tcBorders>
              <w:top w:val="none"/>
              <w:left w:val="none"/>
              <w:bottom w:val="none"/>
              <w:right w:val="none"/>
            </w:tcBorders>
            <w:shd w:fill="FFFFFF" w:val="clear"/>
          </w:tcPr>
          <w:p>
            <w:pPr>
              <w:pStyle w:val="style0"/>
              <w:spacing w:line="263" w:lineRule="atLeast"/>
              <w:jc w:val="both"/>
            </w:pPr>
            <w:r>
              <w:rPr>
                <w:spacing w:val="-2"/>
                <w:lang w:val="en-US"/>
              </w:rPr>
              <w:t xml:space="preserve">(1.21 </w:t>
            </w:r>
            <w:r>
              <w:rPr>
                <w:rFonts w:ascii="Symbol" w:hAnsi="Symbol"/>
                <w:spacing w:val="-2"/>
                <w:lang w:val="en-US"/>
              </w:rPr>
              <w:t></w:t>
            </w:r>
            <w:r>
              <w:rPr>
                <w:spacing w:val="-2"/>
                <w:lang w:val="en-US"/>
              </w:rPr>
              <w:t xml:space="preserve"> 0.05) x 10</w:t>
            </w:r>
            <w:r>
              <w:rPr>
                <w:spacing w:val="-2"/>
                <w:vertAlign w:val="superscript"/>
                <w:lang w:val="en-US"/>
              </w:rPr>
              <w:t>-13</w:t>
            </w:r>
          </w:p>
        </w:tc>
        <w:tc>
          <w:tcPr>
            <w:tcW w:type="dxa" w:w="1189"/>
            <w:tcBorders>
              <w:top w:val="none"/>
              <w:left w:val="none"/>
              <w:bottom w:val="none"/>
              <w:right w:val="none"/>
            </w:tcBorders>
            <w:shd w:fill="FFFFFF" w:val="clear"/>
          </w:tcPr>
          <w:p>
            <w:pPr>
              <w:pStyle w:val="style0"/>
              <w:spacing w:line="263" w:lineRule="atLeast"/>
              <w:jc w:val="both"/>
            </w:pPr>
            <w:r>
              <w:rPr>
                <w:spacing w:val="-2"/>
                <w:lang w:val="en-US"/>
              </w:rPr>
              <w:t>298</w:t>
            </w:r>
          </w:p>
        </w:tc>
        <w:tc>
          <w:tcPr>
            <w:tcW w:type="dxa" w:w="2172"/>
            <w:tcBorders>
              <w:top w:val="none"/>
              <w:left w:val="none"/>
              <w:bottom w:val="none"/>
              <w:right w:val="none"/>
            </w:tcBorders>
            <w:shd w:fill="FFFFFF" w:val="clear"/>
          </w:tcPr>
          <w:p>
            <w:pPr>
              <w:pStyle w:val="style0"/>
              <w:spacing w:line="263" w:lineRule="atLeast"/>
              <w:jc w:val="both"/>
            </w:pPr>
            <w:r>
              <w:rPr>
                <w:color w:val="FF0000"/>
                <w:spacing w:val="-2"/>
                <w:lang w:val="en-US"/>
              </w:rPr>
            </w:r>
          </w:p>
        </w:tc>
        <w:tc>
          <w:tcPr>
            <w:tcW w:type="dxa" w:w="2012"/>
            <w:tcBorders>
              <w:top w:val="none"/>
              <w:left w:val="none"/>
              <w:bottom w:val="none"/>
              <w:right w:val="none"/>
            </w:tcBorders>
            <w:shd w:fill="FFFFFF" w:val="clear"/>
          </w:tcPr>
          <w:p>
            <w:pPr>
              <w:pStyle w:val="style0"/>
              <w:spacing w:line="263" w:lineRule="atLeast"/>
              <w:jc w:val="both"/>
            </w:pPr>
            <w:r>
              <w:rPr>
                <w:spacing w:val="-2"/>
                <w:lang w:val="en-US"/>
              </w:rPr>
            </w:r>
          </w:p>
        </w:tc>
      </w:tr>
    </w:tbl>
    <w:p>
      <w:pPr>
        <w:pStyle w:val="style0"/>
        <w:tabs>
          <w:tab w:leader="none" w:pos="0" w:val="left"/>
          <w:tab w:leader="none" w:pos="128" w:val="left"/>
          <w:tab w:leader="none" w:pos="3570" w:val="left"/>
          <w:tab w:leader="none" w:pos="4866" w:val="left"/>
          <w:tab w:leader="none" w:pos="8394" w:val="left"/>
          <w:tab w:leader="none" w:pos="8811" w:val="left"/>
          <w:tab w:leader="none" w:pos="9360" w:val="left"/>
        </w:tabs>
        <w:spacing w:line="240" w:lineRule="atLeast"/>
        <w:jc w:val="both"/>
      </w:pPr>
      <w:r>
        <w:rPr/>
      </w:r>
    </w:p>
    <w:p>
      <w:pPr>
        <w:pStyle w:val="style1"/>
        <w:numPr>
          <w:ilvl w:val="0"/>
          <w:numId w:val="1"/>
        </w:numPr>
      </w:pPr>
      <w:r>
        <w:rPr/>
        <w:t>Comments</w:t>
      </w:r>
    </w:p>
    <w:p>
      <w:pPr>
        <w:pStyle w:val="style0"/>
        <w:tabs>
          <w:tab w:leader="none" w:pos="444" w:val="left"/>
          <w:tab w:leader="none" w:pos="888" w:val="left"/>
          <w:tab w:leader="none" w:pos="1164" w:val="left"/>
        </w:tabs>
        <w:spacing w:line="240" w:lineRule="atLeast"/>
        <w:ind w:hanging="444" w:left="444" w:right="595"/>
        <w:jc w:val="both"/>
      </w:pPr>
      <w:r>
        <w:rPr>
          <w:spacing w:val="-3"/>
          <w:sz w:val="24"/>
          <w:lang w:val="en-US"/>
        </w:rPr>
        <w:t>(a)</w:t>
        <w:tab/>
        <w:t>Very low pressure reactor with chemiluminescence and mass spectrometric detection. The reaction of Cl with CHCl</w:t>
      </w:r>
      <w:r>
        <w:rPr>
          <w:spacing w:val="-3"/>
          <w:sz w:val="24"/>
          <w:vertAlign w:val="subscript"/>
          <w:lang w:val="en-US"/>
        </w:rPr>
        <w:t>3</w:t>
      </w:r>
      <w:r>
        <w:rPr>
          <w:spacing w:val="-3"/>
          <w:sz w:val="24"/>
          <w:lang w:val="en-US"/>
        </w:rPr>
        <w:t xml:space="preserve"> was studied as part of a complex chemical system.</w:t>
      </w:r>
    </w:p>
    <w:p>
      <w:pPr>
        <w:pStyle w:val="style0"/>
        <w:tabs>
          <w:tab w:leader="none" w:pos="444" w:val="left"/>
          <w:tab w:leader="none" w:pos="888" w:val="left"/>
          <w:tab w:leader="none" w:pos="1164" w:val="left"/>
        </w:tabs>
        <w:spacing w:line="240" w:lineRule="atLeast"/>
        <w:ind w:hanging="444" w:left="444" w:right="664"/>
        <w:jc w:val="both"/>
      </w:pPr>
      <w:r>
        <w:rPr>
          <w:spacing w:val="-3"/>
          <w:sz w:val="24"/>
          <w:lang w:val="en-US"/>
        </w:rPr>
        <w:t xml:space="preserve">(b) </w:t>
        <w:tab/>
        <w:t>Cl atoms were generated by photolysis of Cl</w:t>
      </w:r>
      <w:r>
        <w:rPr>
          <w:spacing w:val="-3"/>
          <w:sz w:val="24"/>
          <w:vertAlign w:val="subscript"/>
          <w:lang w:val="en-US"/>
        </w:rPr>
        <w:t>2</w:t>
      </w:r>
      <w:r>
        <w:rPr>
          <w:spacing w:val="-3"/>
          <w:sz w:val="24"/>
          <w:lang w:val="en-US"/>
        </w:rPr>
        <w:t xml:space="preserve"> in Cl</w:t>
      </w:r>
      <w:r>
        <w:rPr>
          <w:spacing w:val="-3"/>
          <w:sz w:val="24"/>
          <w:vertAlign w:val="subscript"/>
          <w:lang w:val="en-US"/>
        </w:rPr>
        <w:t>2</w:t>
      </w:r>
      <w:r>
        <w:rPr>
          <w:spacing w:val="-3"/>
          <w:sz w:val="24"/>
          <w:lang w:val="en-US"/>
        </w:rPr>
        <w:t>-CHCl</w:t>
      </w:r>
      <w:r>
        <w:rPr>
          <w:spacing w:val="-3"/>
          <w:sz w:val="24"/>
          <w:vertAlign w:val="subscript"/>
          <w:lang w:val="en-US"/>
        </w:rPr>
        <w:t>3</w:t>
      </w:r>
      <w:r>
        <w:rPr>
          <w:spacing w:val="-3"/>
          <w:sz w:val="24"/>
          <w:lang w:val="en-US"/>
        </w:rPr>
        <w:t>-CH</w:t>
      </w:r>
      <w:r>
        <w:rPr>
          <w:spacing w:val="-3"/>
          <w:sz w:val="24"/>
          <w:vertAlign w:val="subscript"/>
          <w:lang w:val="en-US"/>
        </w:rPr>
        <w:t>4</w:t>
      </w:r>
      <w:r>
        <w:rPr>
          <w:spacing w:val="-3"/>
          <w:sz w:val="24"/>
          <w:lang w:val="en-US"/>
        </w:rPr>
        <w:t xml:space="preserve"> or Cl</w:t>
      </w:r>
      <w:r>
        <w:rPr>
          <w:spacing w:val="-3"/>
          <w:sz w:val="24"/>
          <w:vertAlign w:val="subscript"/>
          <w:lang w:val="en-US"/>
        </w:rPr>
        <w:t>2</w:t>
      </w:r>
      <w:r>
        <w:rPr>
          <w:spacing w:val="-3"/>
          <w:sz w:val="24"/>
          <w:lang w:val="en-US"/>
        </w:rPr>
        <w:t>-CHCl</w:t>
      </w:r>
      <w:r>
        <w:rPr>
          <w:spacing w:val="-3"/>
          <w:sz w:val="24"/>
          <w:vertAlign w:val="subscript"/>
          <w:lang w:val="en-US"/>
        </w:rPr>
        <w:t>3</w:t>
      </w:r>
      <w:r>
        <w:rPr>
          <w:spacing w:val="-3"/>
          <w:sz w:val="24"/>
          <w:lang w:val="en-US"/>
        </w:rPr>
        <w:t>-CH</w:t>
      </w:r>
      <w:r>
        <w:rPr>
          <w:spacing w:val="-3"/>
          <w:sz w:val="24"/>
          <w:vertAlign w:val="subscript"/>
          <w:lang w:val="en-US"/>
        </w:rPr>
        <w:t>3</w:t>
      </w:r>
      <w:r>
        <w:rPr>
          <w:spacing w:val="-3"/>
          <w:sz w:val="24"/>
          <w:lang w:val="en-US"/>
        </w:rPr>
        <w:t>Cl mixtures. Organic reactants and products monitored by GC.</w:t>
      </w:r>
    </w:p>
    <w:p>
      <w:pPr>
        <w:pStyle w:val="style0"/>
        <w:tabs>
          <w:tab w:leader="none" w:pos="444" w:val="left"/>
          <w:tab w:leader="none" w:pos="888" w:val="left"/>
          <w:tab w:leader="none" w:pos="1164" w:val="left"/>
        </w:tabs>
        <w:spacing w:line="240" w:lineRule="atLeast"/>
        <w:ind w:hanging="444" w:left="444" w:right="664"/>
        <w:jc w:val="both"/>
      </w:pPr>
      <w:r>
        <w:rPr>
          <w:spacing w:val="-3"/>
          <w:sz w:val="24"/>
          <w:lang w:val="en-US"/>
        </w:rPr>
        <w:t xml:space="preserve">(c) </w:t>
        <w:tab/>
        <w:t xml:space="preserve">Rate coefficient ratio of </w:t>
      </w:r>
      <w:r>
        <w:rPr>
          <w:i/>
          <w:spacing w:val="-3"/>
          <w:sz w:val="24"/>
          <w:lang w:val="en-US"/>
        </w:rPr>
        <w:t>k</w:t>
      </w:r>
      <w:r>
        <w:rPr>
          <w:spacing w:val="-3"/>
          <w:sz w:val="24"/>
          <w:lang w:val="en-US"/>
        </w:rPr>
        <w:t>(Cl + CHCl</w:t>
      </w:r>
      <w:r>
        <w:rPr>
          <w:spacing w:val="-3"/>
          <w:sz w:val="24"/>
          <w:vertAlign w:val="subscript"/>
          <w:lang w:val="en-US"/>
        </w:rPr>
        <w:t>3</w:t>
      </w:r>
      <w:r>
        <w:rPr>
          <w:spacing w:val="-3"/>
          <w:sz w:val="24"/>
          <w:lang w:val="en-US"/>
        </w:rPr>
        <w:t>)/</w:t>
      </w:r>
      <w:r>
        <w:rPr>
          <w:i/>
          <w:spacing w:val="-3"/>
          <w:sz w:val="24"/>
          <w:lang w:val="en-US"/>
        </w:rPr>
        <w:t>k</w:t>
      </w:r>
      <w:r>
        <w:rPr>
          <w:spacing w:val="-3"/>
          <w:sz w:val="24"/>
          <w:lang w:val="en-US"/>
        </w:rPr>
        <w:t>(Cl + CH</w:t>
      </w:r>
      <w:r>
        <w:rPr>
          <w:spacing w:val="-3"/>
          <w:sz w:val="24"/>
          <w:vertAlign w:val="subscript"/>
          <w:lang w:val="en-US"/>
        </w:rPr>
        <w:t>4</w:t>
      </w:r>
      <w:r>
        <w:rPr>
          <w:spacing w:val="-3"/>
          <w:sz w:val="24"/>
          <w:lang w:val="en-US"/>
        </w:rPr>
        <w:t>) = 0.286 exp(259/</w:t>
      </w:r>
      <w:r>
        <w:rPr>
          <w:i/>
          <w:spacing w:val="-3"/>
          <w:sz w:val="24"/>
          <w:lang w:val="en-US"/>
        </w:rPr>
        <w:t>T</w:t>
      </w:r>
      <w:r>
        <w:rPr>
          <w:spacing w:val="-3"/>
          <w:sz w:val="24"/>
          <w:lang w:val="en-US"/>
        </w:rPr>
        <w:t xml:space="preserve">) was obtained and placed on an absolute basis </w:t>
      </w:r>
      <w:bookmarkStart w:id="0" w:name="OLE_LINK2"/>
      <w:bookmarkStart w:id="1" w:name="OLE_LINK1"/>
      <w:r>
        <w:rPr>
          <w:spacing w:val="-3"/>
          <w:sz w:val="24"/>
          <w:lang w:val="en-US"/>
        </w:rPr>
        <w:t>using</w:t>
      </w:r>
      <w:bookmarkEnd w:id="0"/>
      <w:bookmarkEnd w:id="1"/>
      <w:r>
        <w:rPr>
          <w:spacing w:val="-3"/>
          <w:sz w:val="24"/>
          <w:lang w:val="en-US"/>
        </w:rPr>
        <w:t xml:space="preserve"> </w:t>
      </w:r>
      <w:r>
        <w:rPr>
          <w:i/>
          <w:spacing w:val="-3"/>
          <w:sz w:val="24"/>
          <w:lang w:val="en-US"/>
        </w:rPr>
        <w:t>k</w:t>
      </w:r>
      <w:r>
        <w:rPr>
          <w:spacing w:val="-3"/>
          <w:sz w:val="24"/>
          <w:lang w:val="en-US"/>
        </w:rPr>
        <w:t>(Cl + CH</w:t>
      </w:r>
      <w:r>
        <w:rPr>
          <w:spacing w:val="-3"/>
          <w:sz w:val="24"/>
          <w:vertAlign w:val="subscript"/>
          <w:lang w:val="en-US"/>
        </w:rPr>
        <w:t>4</w:t>
      </w:r>
      <w:r>
        <w:rPr>
          <w:spacing w:val="-3"/>
          <w:sz w:val="24"/>
          <w:lang w:val="en-US"/>
        </w:rPr>
        <w:t>) = 6.6 x 10</w:t>
      </w:r>
      <w:r>
        <w:rPr>
          <w:spacing w:val="-3"/>
          <w:sz w:val="24"/>
          <w:vertAlign w:val="superscript"/>
          <w:lang w:val="en-US"/>
        </w:rPr>
        <w:t>-12</w:t>
      </w:r>
      <w:r>
        <w:rPr>
          <w:spacing w:val="-3"/>
          <w:sz w:val="24"/>
          <w:lang w:val="en-US"/>
        </w:rPr>
        <w:t xml:space="preserve"> exp(-1240/</w:t>
      </w:r>
      <w:r>
        <w:rPr>
          <w:i/>
          <w:spacing w:val="-3"/>
          <w:sz w:val="24"/>
          <w:lang w:val="en-US"/>
        </w:rPr>
        <w:t>T</w:t>
      </w:r>
      <w:r>
        <w:rPr>
          <w:spacing w:val="-3"/>
          <w:sz w:val="24"/>
          <w:lang w:val="en-US"/>
        </w:rPr>
        <w:t>)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2006).</w:t>
      </w:r>
    </w:p>
    <w:p>
      <w:pPr>
        <w:pStyle w:val="style0"/>
        <w:tabs>
          <w:tab w:leader="none" w:pos="444" w:val="left"/>
          <w:tab w:leader="none" w:pos="888" w:val="left"/>
          <w:tab w:leader="none" w:pos="1164" w:val="left"/>
        </w:tabs>
        <w:spacing w:line="240" w:lineRule="atLeast"/>
        <w:ind w:hanging="444" w:left="444" w:right="664"/>
        <w:jc w:val="both"/>
      </w:pPr>
      <w:r>
        <w:rPr>
          <w:spacing w:val="-3"/>
          <w:sz w:val="24"/>
          <w:lang w:val="en-US"/>
        </w:rPr>
        <w:t>(d)</w:t>
        <w:tab/>
        <w:t xml:space="preserve">Rate coefficient ratio of </w:t>
      </w:r>
      <w:r>
        <w:rPr>
          <w:i/>
          <w:spacing w:val="-3"/>
          <w:sz w:val="24"/>
          <w:lang w:val="en-US"/>
        </w:rPr>
        <w:t>k</w:t>
      </w:r>
      <w:r>
        <w:rPr>
          <w:spacing w:val="-3"/>
          <w:sz w:val="24"/>
          <w:lang w:val="en-US"/>
        </w:rPr>
        <w:t>(Cl + CHCl</w:t>
      </w:r>
      <w:r>
        <w:rPr>
          <w:spacing w:val="-3"/>
          <w:sz w:val="24"/>
          <w:vertAlign w:val="subscript"/>
          <w:lang w:val="en-US"/>
        </w:rPr>
        <w:t>3</w:t>
      </w:r>
      <w:r>
        <w:rPr>
          <w:spacing w:val="-3"/>
          <w:sz w:val="24"/>
          <w:lang w:val="en-US"/>
        </w:rPr>
        <w:t>)/</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Cl) = 0.26 exp(-133/</w:t>
      </w:r>
      <w:r>
        <w:rPr>
          <w:i/>
          <w:spacing w:val="-3"/>
          <w:sz w:val="24"/>
          <w:lang w:val="en-US"/>
        </w:rPr>
        <w:t>T</w:t>
      </w:r>
      <w:r>
        <w:rPr>
          <w:spacing w:val="-3"/>
          <w:sz w:val="24"/>
          <w:lang w:val="en-US"/>
        </w:rPr>
        <w:t xml:space="preserve">) obtained, and placed on an absolute basis using </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Cl) = 2.3 x 10</w:t>
      </w:r>
      <w:r>
        <w:rPr>
          <w:spacing w:val="-3"/>
          <w:sz w:val="24"/>
          <w:vertAlign w:val="superscript"/>
          <w:lang w:val="en-US"/>
        </w:rPr>
        <w:t>-11</w:t>
      </w:r>
      <w:r>
        <w:rPr>
          <w:spacing w:val="-3"/>
          <w:sz w:val="24"/>
          <w:lang w:val="en-US"/>
        </w:rPr>
        <w:t xml:space="preserve"> exp(-1150/</w:t>
      </w:r>
      <w:r>
        <w:rPr>
          <w:i/>
          <w:spacing w:val="-3"/>
          <w:sz w:val="24"/>
          <w:lang w:val="en-US"/>
        </w:rPr>
        <w:t>T</w:t>
      </w:r>
      <w:r>
        <w:rPr>
          <w:spacing w:val="-3"/>
          <w:sz w:val="24"/>
          <w:lang w:val="en-US"/>
        </w:rPr>
        <w:t>)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2008).</w:t>
      </w:r>
    </w:p>
    <w:p>
      <w:pPr>
        <w:pStyle w:val="style0"/>
        <w:tabs>
          <w:tab w:leader="none" w:pos="444" w:val="left"/>
          <w:tab w:leader="none" w:pos="888" w:val="left"/>
          <w:tab w:leader="none" w:pos="1164" w:val="left"/>
        </w:tabs>
        <w:spacing w:line="240" w:lineRule="atLeast"/>
        <w:ind w:hanging="444" w:left="444" w:right="664"/>
        <w:jc w:val="both"/>
      </w:pPr>
      <w:r>
        <w:rPr>
          <w:spacing w:val="-3"/>
          <w:sz w:val="24"/>
          <w:lang w:val="en-US"/>
        </w:rPr>
        <w:t xml:space="preserve">(e) </w:t>
        <w:tab/>
        <w:t>Cl atoms were generated from the photolysis of Cl</w:t>
      </w:r>
      <w:r>
        <w:rPr>
          <w:spacing w:val="-3"/>
          <w:sz w:val="24"/>
          <w:vertAlign w:val="subscript"/>
          <w:lang w:val="en-US"/>
        </w:rPr>
        <w:t>2</w:t>
      </w:r>
      <w:r>
        <w:rPr>
          <w:spacing w:val="-3"/>
          <w:sz w:val="24"/>
          <w:lang w:val="en-US"/>
        </w:rPr>
        <w:t xml:space="preserve"> in Cl</w:t>
      </w:r>
      <w:r>
        <w:rPr>
          <w:spacing w:val="-3"/>
          <w:sz w:val="24"/>
          <w:vertAlign w:val="subscript"/>
          <w:lang w:val="en-US"/>
        </w:rPr>
        <w:t>2</w:t>
      </w:r>
      <w:r>
        <w:rPr>
          <w:spacing w:val="-3"/>
          <w:sz w:val="24"/>
          <w:lang w:val="en-US"/>
        </w:rPr>
        <w:t>-CHCl</w:t>
      </w:r>
      <w:r>
        <w:rPr>
          <w:spacing w:val="-3"/>
          <w:sz w:val="24"/>
          <w:vertAlign w:val="subscript"/>
          <w:lang w:val="en-US"/>
        </w:rPr>
        <w:t>3</w:t>
      </w:r>
      <w:r>
        <w:rPr>
          <w:spacing w:val="-3"/>
          <w:sz w:val="24"/>
          <w:lang w:val="en-US"/>
        </w:rPr>
        <w:t>-CH</w:t>
      </w:r>
      <w:r>
        <w:rPr>
          <w:spacing w:val="-3"/>
          <w:sz w:val="24"/>
          <w:vertAlign w:val="subscript"/>
          <w:lang w:val="en-US"/>
        </w:rPr>
        <w:t>4</w:t>
      </w:r>
      <w:r>
        <w:rPr>
          <w:spacing w:val="-3"/>
          <w:sz w:val="24"/>
          <w:lang w:val="en-US"/>
        </w:rPr>
        <w:t xml:space="preserve">  mixtures at atmospheric pressure of N</w:t>
      </w:r>
      <w:r>
        <w:rPr>
          <w:spacing w:val="-3"/>
          <w:sz w:val="24"/>
          <w:vertAlign w:val="subscript"/>
          <w:lang w:val="en-US"/>
        </w:rPr>
        <w:t>2</w:t>
      </w:r>
      <w:r>
        <w:rPr>
          <w:spacing w:val="-3"/>
          <w:sz w:val="24"/>
          <w:lang w:val="en-US"/>
        </w:rPr>
        <w:t>, air or Ar. The concentrations of CHCl</w:t>
      </w:r>
      <w:r>
        <w:rPr>
          <w:spacing w:val="-3"/>
          <w:sz w:val="24"/>
          <w:vertAlign w:val="subscript"/>
          <w:lang w:val="en-US"/>
        </w:rPr>
        <w:t>3</w:t>
      </w:r>
      <w:r>
        <w:rPr>
          <w:spacing w:val="-3"/>
          <w:sz w:val="24"/>
          <w:lang w:val="en-US"/>
        </w:rPr>
        <w:t xml:space="preserve"> and CH</w:t>
      </w:r>
      <w:r>
        <w:rPr>
          <w:spacing w:val="-3"/>
          <w:sz w:val="24"/>
          <w:vertAlign w:val="subscript"/>
          <w:lang w:val="en-US"/>
        </w:rPr>
        <w:t>4</w:t>
      </w:r>
      <w:r>
        <w:rPr>
          <w:spacing w:val="-3"/>
          <w:sz w:val="24"/>
          <w:lang w:val="en-US"/>
        </w:rPr>
        <w:t xml:space="preserve"> were monitored by GC and a rate coefficient ratio </w:t>
      </w:r>
      <w:r>
        <w:rPr>
          <w:i/>
          <w:spacing w:val="-3"/>
          <w:sz w:val="24"/>
          <w:lang w:val="en-US"/>
        </w:rPr>
        <w:t>k</w:t>
      </w:r>
      <w:r>
        <w:rPr>
          <w:spacing w:val="-3"/>
          <w:sz w:val="24"/>
          <w:lang w:val="en-US"/>
        </w:rPr>
        <w:t>(Cl + CHCl</w:t>
      </w:r>
      <w:r>
        <w:rPr>
          <w:spacing w:val="-3"/>
          <w:sz w:val="24"/>
          <w:vertAlign w:val="subscript"/>
          <w:lang w:val="en-US"/>
        </w:rPr>
        <w:t>3</w:t>
      </w:r>
      <w:r>
        <w:rPr>
          <w:spacing w:val="-3"/>
          <w:sz w:val="24"/>
          <w:lang w:val="en-US"/>
        </w:rPr>
        <w:t>)/</w:t>
      </w:r>
      <w:r>
        <w:rPr>
          <w:i/>
          <w:spacing w:val="-3"/>
          <w:sz w:val="24"/>
          <w:lang w:val="en-US"/>
        </w:rPr>
        <w:t>k</w:t>
      </w:r>
      <w:r>
        <w:rPr>
          <w:spacing w:val="-3"/>
          <w:sz w:val="24"/>
          <w:lang w:val="en-US"/>
        </w:rPr>
        <w:t>(Cl+CH</w:t>
      </w:r>
      <w:r>
        <w:rPr>
          <w:spacing w:val="-3"/>
          <w:sz w:val="24"/>
          <w:vertAlign w:val="subscript"/>
          <w:lang w:val="en-US"/>
        </w:rPr>
        <w:t>4</w:t>
      </w:r>
      <w:r>
        <w:rPr>
          <w:spacing w:val="-3"/>
          <w:sz w:val="24"/>
          <w:lang w:val="en-US"/>
        </w:rPr>
        <w:t xml:space="preserve">) = 1.13 </w:t>
      </w:r>
      <w:r>
        <w:rPr>
          <w:rFonts w:ascii="Symbol" w:hAnsi="Symbol"/>
          <w:spacing w:val="-3"/>
          <w:sz w:val="24"/>
          <w:lang w:val="en-US"/>
        </w:rPr>
        <w:t></w:t>
      </w:r>
      <w:r>
        <w:rPr>
          <w:spacing w:val="-3"/>
          <w:sz w:val="24"/>
          <w:lang w:val="en-US"/>
        </w:rPr>
        <w:t xml:space="preserve"> 0.07 was determined. This was placed on an absolute basis using </w:t>
      </w:r>
      <w:r>
        <w:rPr>
          <w:i/>
          <w:spacing w:val="-3"/>
          <w:sz w:val="24"/>
          <w:lang w:val="en-US"/>
        </w:rPr>
        <w:t>k</w:t>
      </w:r>
      <w:r>
        <w:rPr>
          <w:spacing w:val="-3"/>
          <w:sz w:val="24"/>
          <w:lang w:val="en-US"/>
        </w:rPr>
        <w:t>(Cl + CH</w:t>
      </w:r>
      <w:r>
        <w:rPr>
          <w:spacing w:val="-3"/>
          <w:sz w:val="24"/>
          <w:vertAlign w:val="subscript"/>
          <w:lang w:val="en-US"/>
        </w:rPr>
        <w:t>4</w:t>
      </w:r>
      <w:r>
        <w:rPr>
          <w:spacing w:val="-3"/>
          <w:sz w:val="24"/>
          <w:lang w:val="en-US"/>
        </w:rPr>
        <w:t>) = 1.0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2006).</w:t>
      </w:r>
    </w:p>
    <w:p>
      <w:pPr>
        <w:pStyle w:val="style0"/>
        <w:tabs>
          <w:tab w:leader="none" w:pos="444" w:val="left"/>
          <w:tab w:leader="none" w:pos="888" w:val="left"/>
          <w:tab w:leader="none" w:pos="1164" w:val="left"/>
        </w:tabs>
        <w:spacing w:line="240" w:lineRule="atLeast"/>
        <w:ind w:hanging="444" w:left="444" w:right="664"/>
        <w:jc w:val="both"/>
      </w:pPr>
      <w:r>
        <w:rPr>
          <w:spacing w:val="-3"/>
          <w:sz w:val="24"/>
          <w:lang w:val="en-US"/>
        </w:rPr>
        <w:t>(f)</w:t>
        <w:tab/>
        <w:t>Cl atoms were generated by photolysis of Cl</w:t>
      </w:r>
      <w:r>
        <w:rPr>
          <w:spacing w:val="-3"/>
          <w:sz w:val="24"/>
          <w:vertAlign w:val="subscript"/>
          <w:lang w:val="en-US"/>
        </w:rPr>
        <w:t>2</w:t>
      </w:r>
      <w:r>
        <w:rPr>
          <w:spacing w:val="-3"/>
          <w:sz w:val="24"/>
          <w:lang w:val="en-US"/>
        </w:rPr>
        <w:t xml:space="preserve"> in Cl</w:t>
      </w:r>
      <w:r>
        <w:rPr>
          <w:spacing w:val="-3"/>
          <w:sz w:val="24"/>
          <w:vertAlign w:val="subscript"/>
          <w:lang w:val="en-US"/>
        </w:rPr>
        <w:t>2</w:t>
      </w:r>
      <w:r>
        <w:rPr>
          <w:spacing w:val="-3"/>
          <w:sz w:val="24"/>
          <w:lang w:val="en-US"/>
        </w:rPr>
        <w:t>-CHCl</w:t>
      </w:r>
      <w:r>
        <w:rPr>
          <w:spacing w:val="-3"/>
          <w:sz w:val="24"/>
          <w:vertAlign w:val="subscript"/>
          <w:lang w:val="en-US"/>
        </w:rPr>
        <w:t>3</w:t>
      </w:r>
      <w:r>
        <w:rPr>
          <w:spacing w:val="-3"/>
          <w:sz w:val="24"/>
          <w:lang w:val="en-US"/>
        </w:rPr>
        <w:t>-CH</w:t>
      </w:r>
      <w:r>
        <w:rPr>
          <w:spacing w:val="-3"/>
          <w:sz w:val="24"/>
          <w:vertAlign w:val="subscript"/>
          <w:lang w:val="en-US"/>
        </w:rPr>
        <w:t>4</w:t>
      </w:r>
      <w:r>
        <w:rPr>
          <w:spacing w:val="-3"/>
          <w:sz w:val="24"/>
          <w:lang w:val="en-US"/>
        </w:rPr>
        <w:t xml:space="preserve"> or Cl</w:t>
      </w:r>
      <w:r>
        <w:rPr>
          <w:spacing w:val="-3"/>
          <w:sz w:val="24"/>
          <w:vertAlign w:val="subscript"/>
          <w:lang w:val="en-US"/>
        </w:rPr>
        <w:t>2</w:t>
      </w:r>
      <w:r>
        <w:rPr>
          <w:spacing w:val="-3"/>
          <w:sz w:val="24"/>
          <w:lang w:val="en-US"/>
        </w:rPr>
        <w:t>-CHCl</w:t>
      </w:r>
      <w:r>
        <w:rPr>
          <w:spacing w:val="-3"/>
          <w:sz w:val="24"/>
          <w:vertAlign w:val="subscript"/>
          <w:lang w:val="en-US"/>
        </w:rPr>
        <w:t>3</w:t>
      </w:r>
      <w:r>
        <w:rPr>
          <w:spacing w:val="-3"/>
          <w:sz w:val="24"/>
          <w:lang w:val="en-US"/>
        </w:rPr>
        <w:t>-CH</w:t>
      </w:r>
      <w:r>
        <w:rPr>
          <w:spacing w:val="-3"/>
          <w:sz w:val="24"/>
          <w:vertAlign w:val="subscript"/>
          <w:lang w:val="en-US"/>
        </w:rPr>
        <w:t>3</w:t>
      </w:r>
      <w:r>
        <w:rPr>
          <w:spacing w:val="-3"/>
          <w:sz w:val="24"/>
          <w:lang w:val="en-US"/>
        </w:rPr>
        <w:t>Cl mixtures in an air or N</w:t>
      </w:r>
      <w:r>
        <w:rPr>
          <w:spacing w:val="-3"/>
          <w:sz w:val="24"/>
          <w:vertAlign w:val="subscript"/>
          <w:lang w:val="en-US"/>
        </w:rPr>
        <w:t>2</w:t>
      </w:r>
      <w:r>
        <w:rPr>
          <w:spacing w:val="-3"/>
          <w:sz w:val="24"/>
          <w:lang w:val="en-US"/>
        </w:rPr>
        <w:t xml:space="preserve"> bath gas at 1023 mbar total pressure and 298 K. Rate coefficient ratios </w:t>
      </w:r>
      <w:r>
        <w:rPr>
          <w:i/>
          <w:spacing w:val="-3"/>
          <w:sz w:val="24"/>
          <w:lang w:val="en-US"/>
        </w:rPr>
        <w:t>k</w:t>
      </w:r>
      <w:r>
        <w:rPr>
          <w:spacing w:val="-3"/>
          <w:sz w:val="24"/>
          <w:lang w:val="en-US"/>
        </w:rPr>
        <w:t>(Cl + CHCl</w:t>
      </w:r>
      <w:r>
        <w:rPr>
          <w:spacing w:val="-3"/>
          <w:sz w:val="24"/>
          <w:vertAlign w:val="subscript"/>
          <w:lang w:val="en-US"/>
        </w:rPr>
        <w:t>3</w:t>
      </w:r>
      <w:r>
        <w:rPr>
          <w:spacing w:val="-3"/>
          <w:sz w:val="24"/>
          <w:lang w:val="en-US"/>
        </w:rPr>
        <w:t>)/</w:t>
      </w:r>
      <w:r>
        <w:rPr>
          <w:i/>
          <w:spacing w:val="-3"/>
          <w:sz w:val="24"/>
          <w:lang w:val="en-US"/>
        </w:rPr>
        <w:t>k</w:t>
      </w:r>
      <w:r>
        <w:rPr>
          <w:spacing w:val="-3"/>
          <w:sz w:val="24"/>
          <w:lang w:val="en-US"/>
        </w:rPr>
        <w:t>(Cl+CH</w:t>
      </w:r>
      <w:r>
        <w:rPr>
          <w:spacing w:val="-3"/>
          <w:sz w:val="24"/>
          <w:vertAlign w:val="subscript"/>
          <w:lang w:val="en-US"/>
        </w:rPr>
        <w:t>4</w:t>
      </w:r>
      <w:r>
        <w:rPr>
          <w:spacing w:val="-3"/>
          <w:sz w:val="24"/>
          <w:lang w:val="en-US"/>
        </w:rPr>
        <w:t xml:space="preserve">) = 1.26 ± 0.07 and </w:t>
      </w:r>
      <w:r>
        <w:rPr>
          <w:i/>
          <w:spacing w:val="-3"/>
          <w:sz w:val="24"/>
          <w:lang w:val="en-US"/>
        </w:rPr>
        <w:t>k</w:t>
      </w:r>
      <w:r>
        <w:rPr>
          <w:spacing w:val="-3"/>
          <w:sz w:val="24"/>
          <w:lang w:val="en-US"/>
        </w:rPr>
        <w:t>(Cl + CHCl</w:t>
      </w:r>
      <w:r>
        <w:rPr>
          <w:spacing w:val="-3"/>
          <w:sz w:val="24"/>
          <w:vertAlign w:val="subscript"/>
          <w:lang w:val="en-US"/>
        </w:rPr>
        <w:t>3</w:t>
      </w:r>
      <w:r>
        <w:rPr>
          <w:spacing w:val="-3"/>
          <w:sz w:val="24"/>
          <w:lang w:val="en-US"/>
        </w:rPr>
        <w:t>)/</w:t>
      </w:r>
      <w:r>
        <w:rPr>
          <w:i/>
          <w:spacing w:val="-3"/>
          <w:sz w:val="24"/>
          <w:lang w:val="en-US"/>
        </w:rPr>
        <w:t>k</w:t>
      </w:r>
      <w:r>
        <w:rPr>
          <w:spacing w:val="-3"/>
          <w:sz w:val="24"/>
          <w:lang w:val="en-US"/>
        </w:rPr>
        <w:t>(Cl+CH</w:t>
      </w:r>
      <w:r>
        <w:rPr>
          <w:spacing w:val="-3"/>
          <w:sz w:val="24"/>
          <w:vertAlign w:val="subscript"/>
          <w:lang w:val="en-US"/>
        </w:rPr>
        <w:t>3</w:t>
      </w:r>
      <w:r>
        <w:rPr>
          <w:spacing w:val="-3"/>
          <w:sz w:val="24"/>
          <w:lang w:val="en-US"/>
        </w:rPr>
        <w:t xml:space="preserve">Cl) = 0.243 ± 0.028 were placed on an absolute basis using </w:t>
      </w:r>
      <w:r>
        <w:rPr>
          <w:i/>
          <w:spacing w:val="-3"/>
          <w:sz w:val="24"/>
          <w:lang w:val="en-US"/>
        </w:rPr>
        <w:t>k</w:t>
      </w:r>
      <w:r>
        <w:rPr>
          <w:spacing w:val="-3"/>
          <w:sz w:val="24"/>
          <w:lang w:val="en-US"/>
        </w:rPr>
        <w:t>(Cl + CH</w:t>
      </w:r>
      <w:r>
        <w:rPr>
          <w:spacing w:val="-3"/>
          <w:sz w:val="24"/>
          <w:vertAlign w:val="subscript"/>
          <w:lang w:val="en-US"/>
        </w:rPr>
        <w:t>4</w:t>
      </w:r>
      <w:r>
        <w:rPr>
          <w:spacing w:val="-3"/>
          <w:sz w:val="24"/>
          <w:lang w:val="en-US"/>
        </w:rPr>
        <w:t>) = 1.0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and </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Cl) = 4.8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noBreakHyphen/>
        <w:t>1</w:t>
      </w:r>
      <w:r>
        <w:rPr>
          <w:spacing w:val="-3"/>
          <w:sz w:val="24"/>
          <w:lang w:val="en-US"/>
        </w:rPr>
        <w:t xml:space="preserve"> s</w:t>
      </w:r>
      <w:r>
        <w:rPr>
          <w:spacing w:val="-3"/>
          <w:sz w:val="24"/>
          <w:vertAlign w:val="superscript"/>
          <w:lang w:val="en-US"/>
        </w:rPr>
        <w:t xml:space="preserve">-1 </w:t>
      </w:r>
      <w:r>
        <w:rPr>
          <w:spacing w:val="-3"/>
          <w:sz w:val="24"/>
          <w:lang w:val="en-US"/>
        </w:rPr>
        <w:t>(Atkinson et al., 2006; Atkinson et al., 2008). The value presented in the table is the average of experiments using both CH</w:t>
      </w:r>
      <w:r>
        <w:rPr>
          <w:spacing w:val="-3"/>
          <w:sz w:val="24"/>
          <w:vertAlign w:val="subscript"/>
          <w:lang w:val="en-US"/>
        </w:rPr>
        <w:t>4</w:t>
      </w:r>
      <w:r>
        <w:rPr>
          <w:spacing w:val="-3"/>
          <w:sz w:val="24"/>
          <w:lang w:val="en-US"/>
        </w:rPr>
        <w:t xml:space="preserve"> and CH</w:t>
      </w:r>
      <w:r>
        <w:rPr>
          <w:spacing w:val="-3"/>
          <w:sz w:val="24"/>
          <w:vertAlign w:val="subscript"/>
          <w:lang w:val="en-US"/>
        </w:rPr>
        <w:t>3</w:t>
      </w:r>
      <w:r>
        <w:rPr>
          <w:spacing w:val="-3"/>
          <w:sz w:val="24"/>
          <w:lang w:val="en-US"/>
        </w:rPr>
        <w:t>Cl as reference reactants.  The uncertainty quoted in the table encompasses the uncertainties associated with the two individual determinations (neglecting uncertainties in the reference rate coefficients).</w:t>
      </w:r>
    </w:p>
    <w:p>
      <w:pPr>
        <w:pStyle w:val="style0"/>
        <w:tabs>
          <w:tab w:leader="none" w:pos="444" w:val="left"/>
          <w:tab w:leader="none" w:pos="888" w:val="left"/>
          <w:tab w:leader="none" w:pos="1164" w:val="left"/>
        </w:tabs>
        <w:spacing w:line="240" w:lineRule="atLeast"/>
        <w:ind w:hanging="444" w:left="444" w:right="664"/>
        <w:jc w:val="both"/>
      </w:pPr>
      <w:r>
        <w:rPr>
          <w:spacing w:val="-3"/>
          <w:sz w:val="24"/>
          <w:lang w:val="en-US"/>
        </w:rPr>
        <w:t>(g)</w:t>
        <w:tab/>
        <w:t>Cl atoms were generated from the photolysis of Cl</w:t>
      </w:r>
      <w:r>
        <w:rPr>
          <w:spacing w:val="-3"/>
          <w:sz w:val="24"/>
          <w:vertAlign w:val="subscript"/>
          <w:lang w:val="en-US"/>
        </w:rPr>
        <w:t>2</w:t>
      </w:r>
      <w:r>
        <w:rPr>
          <w:spacing w:val="-3"/>
          <w:sz w:val="24"/>
          <w:lang w:val="en-US"/>
        </w:rPr>
        <w:t xml:space="preserve"> in Cl</w:t>
      </w:r>
      <w:r>
        <w:rPr>
          <w:spacing w:val="-3"/>
          <w:sz w:val="24"/>
          <w:vertAlign w:val="subscript"/>
          <w:lang w:val="en-US"/>
        </w:rPr>
        <w:t>2</w:t>
      </w:r>
      <w:r>
        <w:rPr>
          <w:spacing w:val="-3"/>
          <w:sz w:val="24"/>
          <w:lang w:val="en-US"/>
        </w:rPr>
        <w:t>-CHCl</w:t>
      </w:r>
      <w:r>
        <w:rPr>
          <w:spacing w:val="-3"/>
          <w:sz w:val="24"/>
          <w:vertAlign w:val="subscript"/>
          <w:lang w:val="en-US"/>
        </w:rPr>
        <w:t>3</w:t>
      </w:r>
      <w:r>
        <w:rPr>
          <w:spacing w:val="-3"/>
          <w:sz w:val="24"/>
          <w:lang w:val="en-US"/>
        </w:rPr>
        <w:t>-CH</w:t>
      </w:r>
      <w:r>
        <w:rPr>
          <w:spacing w:val="-3"/>
          <w:sz w:val="24"/>
          <w:vertAlign w:val="subscript"/>
          <w:lang w:val="en-US"/>
        </w:rPr>
        <w:t>4</w:t>
      </w:r>
      <w:r>
        <w:rPr>
          <w:spacing w:val="-3"/>
          <w:sz w:val="24"/>
          <w:lang w:val="en-US"/>
        </w:rPr>
        <w:t xml:space="preserve"> mixtures at 930 mbar total pressure of air. The relative removal rates of CH</w:t>
      </w:r>
      <w:r>
        <w:rPr>
          <w:spacing w:val="-3"/>
          <w:sz w:val="24"/>
          <w:vertAlign w:val="subscript"/>
          <w:lang w:val="en-US"/>
        </w:rPr>
        <w:t>2</w:t>
      </w:r>
      <w:r>
        <w:rPr>
          <w:spacing w:val="-3"/>
          <w:sz w:val="24"/>
          <w:lang w:val="en-US"/>
        </w:rPr>
        <w:t>Cl</w:t>
      </w:r>
      <w:r>
        <w:rPr>
          <w:spacing w:val="-3"/>
          <w:sz w:val="24"/>
          <w:vertAlign w:val="subscript"/>
          <w:lang w:val="en-US"/>
        </w:rPr>
        <w:t>2</w:t>
      </w:r>
      <w:r>
        <w:rPr>
          <w:spacing w:val="-3"/>
          <w:sz w:val="24"/>
          <w:lang w:val="en-US"/>
        </w:rPr>
        <w:t xml:space="preserve"> and CH</w:t>
      </w:r>
      <w:r>
        <w:rPr>
          <w:spacing w:val="-3"/>
          <w:sz w:val="24"/>
          <w:vertAlign w:val="subscript"/>
          <w:lang w:val="en-US"/>
        </w:rPr>
        <w:t>4</w:t>
      </w:r>
      <w:r>
        <w:rPr>
          <w:spacing w:val="-3"/>
          <w:sz w:val="24"/>
          <w:lang w:val="en-US"/>
        </w:rPr>
        <w:t xml:space="preserve"> were measured by FTIR. A rate coefficient ratio </w:t>
      </w:r>
      <w:r>
        <w:rPr>
          <w:i/>
          <w:spacing w:val="-3"/>
          <w:sz w:val="24"/>
          <w:lang w:val="en-US"/>
        </w:rPr>
        <w:t>k</w:t>
      </w:r>
      <w:r>
        <w:rPr>
          <w:spacing w:val="-3"/>
          <w:sz w:val="24"/>
          <w:lang w:val="en-US"/>
        </w:rPr>
        <w:t>(Cl + CHCl</w:t>
      </w:r>
      <w:r>
        <w:rPr>
          <w:spacing w:val="-3"/>
          <w:sz w:val="24"/>
          <w:vertAlign w:val="subscript"/>
          <w:lang w:val="en-US"/>
        </w:rPr>
        <w:t>3</w:t>
      </w:r>
      <w:r>
        <w:rPr>
          <w:spacing w:val="-3"/>
          <w:sz w:val="24"/>
          <w:lang w:val="en-US"/>
        </w:rPr>
        <w:t>)/</w:t>
      </w:r>
      <w:r>
        <w:rPr>
          <w:i/>
          <w:spacing w:val="-3"/>
          <w:sz w:val="24"/>
          <w:lang w:val="en-US"/>
        </w:rPr>
        <w:t>k</w:t>
      </w:r>
      <w:r>
        <w:rPr>
          <w:spacing w:val="-3"/>
          <w:sz w:val="24"/>
          <w:lang w:val="en-US"/>
        </w:rPr>
        <w:t>(Cl+CH</w:t>
      </w:r>
      <w:r>
        <w:rPr>
          <w:spacing w:val="-3"/>
          <w:sz w:val="24"/>
          <w:vertAlign w:val="subscript"/>
          <w:lang w:val="en-US"/>
        </w:rPr>
        <w:t>4</w:t>
      </w:r>
      <w:r>
        <w:rPr>
          <w:spacing w:val="-3"/>
          <w:sz w:val="24"/>
          <w:lang w:val="en-US"/>
        </w:rPr>
        <w:t xml:space="preserve">) = 1.1 </w:t>
      </w:r>
      <w:r>
        <w:rPr>
          <w:rFonts w:ascii="Symbol" w:hAnsi="Symbol"/>
          <w:spacing w:val="-3"/>
          <w:sz w:val="24"/>
          <w:lang w:val="en-US"/>
        </w:rPr>
        <w:t></w:t>
      </w:r>
      <w:r>
        <w:rPr>
          <w:spacing w:val="-3"/>
          <w:sz w:val="24"/>
          <w:lang w:val="en-US"/>
        </w:rPr>
        <w:t xml:space="preserve"> 0.1 was obtained and placed on an absolute basis using </w:t>
      </w:r>
      <w:r>
        <w:rPr>
          <w:i/>
          <w:spacing w:val="-3"/>
          <w:sz w:val="24"/>
          <w:lang w:val="en-US"/>
        </w:rPr>
        <w:t>k</w:t>
      </w:r>
      <w:r>
        <w:rPr>
          <w:spacing w:val="-3"/>
          <w:sz w:val="24"/>
          <w:lang w:val="en-US"/>
        </w:rPr>
        <w:t>(Cl + CH</w:t>
      </w:r>
      <w:r>
        <w:rPr>
          <w:spacing w:val="-3"/>
          <w:sz w:val="24"/>
          <w:vertAlign w:val="subscript"/>
          <w:lang w:val="en-US"/>
        </w:rPr>
        <w:t>4</w:t>
      </w:r>
      <w:r>
        <w:rPr>
          <w:spacing w:val="-3"/>
          <w:sz w:val="24"/>
          <w:lang w:val="en-US"/>
        </w:rPr>
        <w:t>) = 1.0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2006).</w:t>
      </w:r>
    </w:p>
    <w:p>
      <w:pPr>
        <w:pStyle w:val="style0"/>
        <w:tabs>
          <w:tab w:leader="none" w:pos="444" w:val="left"/>
          <w:tab w:leader="none" w:pos="888" w:val="left"/>
          <w:tab w:leader="none" w:pos="1164" w:val="left"/>
        </w:tabs>
        <w:spacing w:line="240" w:lineRule="atLeast"/>
        <w:ind w:hanging="444" w:left="444" w:right="664"/>
        <w:jc w:val="both"/>
      </w:pPr>
      <w:r>
        <w:rPr>
          <w:spacing w:val="-3"/>
          <w:sz w:val="24"/>
          <w:lang w:val="en-US"/>
        </w:rPr>
        <w:t>(h)</w:t>
        <w:tab/>
      </w:r>
      <w:r>
        <w:rPr>
          <w:sz w:val="24"/>
        </w:rPr>
        <w:t>Cl atoms were generated from the photolysis of Cl</w:t>
      </w:r>
      <w:r>
        <w:rPr>
          <w:sz w:val="24"/>
          <w:vertAlign w:val="subscript"/>
        </w:rPr>
        <w:t>2</w:t>
      </w:r>
      <w:r>
        <w:rPr>
          <w:sz w:val="24"/>
        </w:rPr>
        <w:t xml:space="preserve"> in Cl</w:t>
      </w:r>
      <w:r>
        <w:rPr>
          <w:sz w:val="24"/>
          <w:vertAlign w:val="subscript"/>
        </w:rPr>
        <w:t>2</w:t>
      </w:r>
      <w:r>
        <w:rPr>
          <w:sz w:val="24"/>
        </w:rPr>
        <w:t>-CHCl</w:t>
      </w:r>
      <w:r>
        <w:rPr>
          <w:sz w:val="24"/>
          <w:vertAlign w:val="subscript"/>
        </w:rPr>
        <w:t>3</w:t>
      </w:r>
      <w:r>
        <w:rPr>
          <w:sz w:val="24"/>
        </w:rPr>
        <w:t>-CH</w:t>
      </w:r>
      <w:r>
        <w:rPr>
          <w:sz w:val="24"/>
          <w:vertAlign w:val="subscript"/>
        </w:rPr>
        <w:t>4</w:t>
      </w:r>
      <w:r>
        <w:rPr>
          <w:sz w:val="24"/>
        </w:rPr>
        <w:t xml:space="preserve">  mixtures at 930 mbar total pressure of O</w:t>
      </w:r>
      <w:r>
        <w:rPr>
          <w:sz w:val="24"/>
          <w:vertAlign w:val="subscript"/>
        </w:rPr>
        <w:t>2</w:t>
      </w:r>
      <w:r>
        <w:rPr>
          <w:sz w:val="24"/>
        </w:rPr>
        <w:t>-N</w:t>
      </w:r>
      <w:r>
        <w:rPr>
          <w:sz w:val="24"/>
          <w:vertAlign w:val="subscript"/>
        </w:rPr>
        <w:t>2</w:t>
      </w:r>
      <w:r>
        <w:rPr>
          <w:sz w:val="24"/>
        </w:rPr>
        <w:t xml:space="preserve">. The </w:t>
      </w:r>
      <w:r>
        <w:rPr>
          <w:spacing w:val="-3"/>
          <w:sz w:val="24"/>
          <w:lang w:val="en-US"/>
        </w:rPr>
        <w:t>concentrations</w:t>
      </w:r>
      <w:r>
        <w:rPr>
          <w:sz w:val="24"/>
        </w:rPr>
        <w:t xml:space="preserve"> of CHCl</w:t>
      </w:r>
      <w:r>
        <w:rPr>
          <w:sz w:val="24"/>
          <w:vertAlign w:val="subscript"/>
        </w:rPr>
        <w:t>3</w:t>
      </w:r>
      <w:r>
        <w:rPr>
          <w:sz w:val="24"/>
        </w:rPr>
        <w:t xml:space="preserve"> and CH</w:t>
      </w:r>
      <w:r>
        <w:rPr>
          <w:sz w:val="24"/>
          <w:vertAlign w:val="subscript"/>
        </w:rPr>
        <w:t>4</w:t>
      </w:r>
      <w:r>
        <w:rPr>
          <w:sz w:val="24"/>
        </w:rPr>
        <w:t xml:space="preserve"> were monitored by FTIR absorption spectroscopy and a temperature dependent rate coefficient ratio </w:t>
      </w:r>
      <w:r>
        <w:rPr>
          <w:i/>
          <w:sz w:val="24"/>
        </w:rPr>
        <w:t>k</w:t>
      </w:r>
      <w:r>
        <w:rPr>
          <w:sz w:val="24"/>
        </w:rPr>
        <w:t>(Cl + CHCl</w:t>
      </w:r>
      <w:r>
        <w:rPr>
          <w:sz w:val="24"/>
          <w:vertAlign w:val="subscript"/>
        </w:rPr>
        <w:t>3</w:t>
      </w:r>
      <w:r>
        <w:rPr>
          <w:sz w:val="24"/>
        </w:rPr>
        <w:t>)/</w:t>
      </w:r>
      <w:r>
        <w:rPr>
          <w:i/>
          <w:sz w:val="24"/>
        </w:rPr>
        <w:t>k</w:t>
      </w:r>
      <w:r>
        <w:rPr>
          <w:sz w:val="24"/>
        </w:rPr>
        <w:t>(Cl+CH</w:t>
      </w:r>
      <w:r>
        <w:rPr>
          <w:sz w:val="24"/>
          <w:vertAlign w:val="subscript"/>
        </w:rPr>
        <w:t>4</w:t>
      </w:r>
      <w:r>
        <w:rPr>
          <w:sz w:val="24"/>
        </w:rPr>
        <w:t xml:space="preserve">) = 0.436 exp (290/T) was determined. This was placed on an absolute basis </w:t>
      </w:r>
      <w:r>
        <w:rPr>
          <w:spacing w:val="-3"/>
          <w:sz w:val="24"/>
          <w:lang w:val="en-US"/>
        </w:rPr>
        <w:t>using</w:t>
      </w:r>
      <w:r>
        <w:rPr>
          <w:sz w:val="24"/>
        </w:rPr>
        <w:t xml:space="preserve"> </w:t>
      </w:r>
      <w:r>
        <w:rPr>
          <w:i/>
          <w:sz w:val="24"/>
        </w:rPr>
        <w:t>k</w:t>
      </w:r>
      <w:r>
        <w:rPr>
          <w:sz w:val="24"/>
        </w:rPr>
        <w:t>(Cl + CH</w:t>
      </w:r>
      <w:r>
        <w:rPr>
          <w:sz w:val="24"/>
          <w:vertAlign w:val="subscript"/>
        </w:rPr>
        <w:t>4</w:t>
      </w:r>
      <w:r>
        <w:rPr>
          <w:sz w:val="24"/>
        </w:rPr>
        <w:t>) = 6.6 x 10</w:t>
      </w:r>
      <w:r>
        <w:rPr>
          <w:sz w:val="24"/>
          <w:vertAlign w:val="superscript"/>
        </w:rPr>
        <w:t>-12</w:t>
      </w:r>
      <w:r>
        <w:rPr>
          <w:sz w:val="24"/>
        </w:rPr>
        <w:t xml:space="preserve"> exp (-1240/</w:t>
      </w:r>
      <w:r>
        <w:rPr>
          <w:i/>
          <w:sz w:val="24"/>
        </w:rPr>
        <w:t>T</w:t>
      </w:r>
      <w:r>
        <w:rPr>
          <w:sz w:val="24"/>
        </w:rPr>
        <w:t>) cm</w:t>
      </w:r>
      <w:r>
        <w:rPr>
          <w:sz w:val="24"/>
          <w:vertAlign w:val="superscript"/>
        </w:rPr>
        <w:t>3</w:t>
      </w:r>
      <w:r>
        <w:rPr>
          <w:sz w:val="24"/>
        </w:rPr>
        <w:t xml:space="preserve"> molecule</w:t>
      </w:r>
      <w:r>
        <w:rPr>
          <w:sz w:val="24"/>
          <w:vertAlign w:val="superscript"/>
        </w:rPr>
        <w:t>-1</w:t>
      </w:r>
      <w:r>
        <w:rPr>
          <w:sz w:val="24"/>
        </w:rPr>
        <w:t xml:space="preserve"> s</w:t>
      </w:r>
      <w:r>
        <w:rPr>
          <w:sz w:val="24"/>
          <w:vertAlign w:val="superscript"/>
        </w:rPr>
        <w:t>-1</w:t>
      </w:r>
      <w:r>
        <w:rPr>
          <w:sz w:val="24"/>
        </w:rPr>
        <w:t xml:space="preserve"> </w:t>
      </w:r>
      <w:r>
        <w:rPr>
          <w:spacing w:val="-3"/>
          <w:sz w:val="24"/>
          <w:lang w:val="en-US"/>
        </w:rPr>
        <w:t>(Atkinson et al., 2006).</w:t>
      </w:r>
      <w:r>
        <w:rPr>
          <w:sz w:val="24"/>
        </w:rPr>
        <w:t xml:space="preserve"> </w:t>
      </w:r>
    </w:p>
    <w:p>
      <w:pPr>
        <w:pStyle w:val="style0"/>
        <w:tabs>
          <w:tab w:leader="none" w:pos="444" w:val="left"/>
          <w:tab w:leader="none" w:pos="888" w:val="left"/>
          <w:tab w:leader="none" w:pos="1164" w:val="left"/>
        </w:tabs>
        <w:spacing w:line="240" w:lineRule="atLeast"/>
        <w:ind w:hanging="444" w:left="444" w:right="664"/>
        <w:jc w:val="both"/>
      </w:pPr>
      <w:r>
        <w:rPr>
          <w:spacing w:val="-3"/>
          <w:sz w:val="24"/>
          <w:lang w:val="en-US"/>
        </w:rPr>
        <w:t>(i)</w:t>
        <w:tab/>
      </w:r>
      <w:r>
        <w:rPr>
          <w:sz w:val="24"/>
        </w:rPr>
        <w:t>Cl atoms were generated from the photolysis of Cl</w:t>
      </w:r>
      <w:r>
        <w:rPr>
          <w:sz w:val="24"/>
          <w:vertAlign w:val="subscript"/>
        </w:rPr>
        <w:t>2</w:t>
      </w:r>
      <w:r>
        <w:rPr>
          <w:sz w:val="24"/>
        </w:rPr>
        <w:t xml:space="preserve"> in Cl</w:t>
      </w:r>
      <w:r>
        <w:rPr>
          <w:sz w:val="24"/>
          <w:vertAlign w:val="subscript"/>
        </w:rPr>
        <w:t>2</w:t>
      </w:r>
      <w:r>
        <w:rPr>
          <w:sz w:val="24"/>
        </w:rPr>
        <w:t>-CHCl</w:t>
      </w:r>
      <w:r>
        <w:rPr>
          <w:sz w:val="24"/>
          <w:vertAlign w:val="subscript"/>
        </w:rPr>
        <w:t>3</w:t>
      </w:r>
      <w:r>
        <w:rPr>
          <w:sz w:val="24"/>
        </w:rPr>
        <w:t>-CH</w:t>
      </w:r>
      <w:r>
        <w:rPr>
          <w:sz w:val="24"/>
          <w:vertAlign w:val="subscript"/>
        </w:rPr>
        <w:t>3</w:t>
      </w:r>
      <w:r>
        <w:rPr>
          <w:sz w:val="24"/>
        </w:rPr>
        <w:t>Br  mixtures int 133 mbar total pressure of N</w:t>
      </w:r>
      <w:r>
        <w:rPr>
          <w:sz w:val="24"/>
          <w:vertAlign w:val="subscript"/>
        </w:rPr>
        <w:t>2</w:t>
      </w:r>
      <w:r>
        <w:rPr>
          <w:sz w:val="24"/>
        </w:rPr>
        <w:t xml:space="preserve">. The </w:t>
      </w:r>
      <w:r>
        <w:rPr>
          <w:spacing w:val="-3"/>
          <w:sz w:val="24"/>
          <w:lang w:val="en-US"/>
        </w:rPr>
        <w:t>concentrations</w:t>
      </w:r>
      <w:r>
        <w:rPr>
          <w:sz w:val="24"/>
        </w:rPr>
        <w:t xml:space="preserve"> of CHCl</w:t>
      </w:r>
      <w:r>
        <w:rPr>
          <w:sz w:val="24"/>
          <w:vertAlign w:val="subscript"/>
        </w:rPr>
        <w:t>3</w:t>
      </w:r>
      <w:r>
        <w:rPr>
          <w:sz w:val="24"/>
        </w:rPr>
        <w:t xml:space="preserve"> and CH</w:t>
      </w:r>
      <w:r>
        <w:rPr>
          <w:sz w:val="24"/>
          <w:vertAlign w:val="subscript"/>
        </w:rPr>
        <w:t>3</w:t>
      </w:r>
      <w:r>
        <w:rPr>
          <w:sz w:val="24"/>
        </w:rPr>
        <w:t xml:space="preserve">Br were monitored by thermal conductivity GC.  Rate coefficient ratios </w:t>
      </w:r>
      <w:r>
        <w:rPr>
          <w:i/>
          <w:sz w:val="24"/>
        </w:rPr>
        <w:t>k</w:t>
      </w:r>
      <w:r>
        <w:rPr>
          <w:sz w:val="24"/>
        </w:rPr>
        <w:t>(Cl + CHCl</w:t>
      </w:r>
      <w:r>
        <w:rPr>
          <w:sz w:val="24"/>
          <w:vertAlign w:val="subscript"/>
        </w:rPr>
        <w:t>3</w:t>
      </w:r>
      <w:r>
        <w:rPr>
          <w:sz w:val="24"/>
        </w:rPr>
        <w:t>)/</w:t>
      </w:r>
      <w:r>
        <w:rPr>
          <w:i/>
          <w:sz w:val="24"/>
        </w:rPr>
        <w:t>k</w:t>
      </w:r>
      <w:r>
        <w:rPr>
          <w:sz w:val="24"/>
        </w:rPr>
        <w:t>(Cl+CH</w:t>
      </w:r>
      <w:r>
        <w:rPr>
          <w:sz w:val="24"/>
          <w:vertAlign w:val="subscript"/>
        </w:rPr>
        <w:t>3</w:t>
      </w:r>
      <w:r>
        <w:rPr>
          <w:sz w:val="24"/>
        </w:rPr>
        <w:t xml:space="preserve">Br) were placed on an absolute basis using </w:t>
      </w:r>
      <w:r>
        <w:rPr>
          <w:i/>
          <w:sz w:val="24"/>
        </w:rPr>
        <w:t>k</w:t>
      </w:r>
      <w:r>
        <w:rPr>
          <w:sz w:val="24"/>
        </w:rPr>
        <w:t>(Cl+CH</w:t>
      </w:r>
      <w:r>
        <w:rPr>
          <w:sz w:val="24"/>
          <w:vertAlign w:val="subscript"/>
        </w:rPr>
        <w:t>3</w:t>
      </w:r>
      <w:r>
        <w:rPr>
          <w:sz w:val="24"/>
        </w:rPr>
        <w:t>Br) = 3.32 x 10</w:t>
      </w:r>
      <w:r>
        <w:rPr>
          <w:sz w:val="24"/>
          <w:vertAlign w:val="superscript"/>
        </w:rPr>
        <w:t>-</w:t>
      </w:r>
      <w:r>
        <w:rPr/>
        <w:t>12</w:t>
      </w:r>
      <w:r>
        <w:rPr>
          <w:sz w:val="24"/>
        </w:rPr>
        <w:t xml:space="preserve"> (T/298)</w:t>
      </w:r>
      <w:r>
        <w:rPr/>
        <w:t>1.42</w:t>
      </w:r>
      <w:r>
        <w:rPr>
          <w:sz w:val="24"/>
        </w:rPr>
        <w:t xml:space="preserve"> exp(-605/</w:t>
      </w:r>
      <w:r>
        <w:rPr/>
        <w:t>T</w:t>
      </w:r>
      <w:r>
        <w:rPr>
          <w:sz w:val="24"/>
        </w:rPr>
        <w:t>) cm</w:t>
      </w:r>
      <w:r>
        <w:rPr>
          <w:sz w:val="24"/>
          <w:vertAlign w:val="superscript"/>
        </w:rPr>
        <w:t>3</w:t>
      </w:r>
      <w:r>
        <w:rPr>
          <w:sz w:val="24"/>
        </w:rPr>
        <w:t xml:space="preserve"> molecule</w:t>
      </w:r>
      <w:r>
        <w:rPr>
          <w:sz w:val="24"/>
          <w:vertAlign w:val="superscript"/>
        </w:rPr>
        <w:t>-1</w:t>
      </w:r>
      <w:r>
        <w:rPr>
          <w:sz w:val="24"/>
        </w:rPr>
        <w:t xml:space="preserve"> s</w:t>
      </w:r>
      <w:r>
        <w:rPr>
          <w:sz w:val="24"/>
          <w:vertAlign w:val="superscript"/>
        </w:rPr>
        <w:t>-1</w:t>
      </w:r>
      <w:r>
        <w:rPr>
          <w:sz w:val="24"/>
        </w:rPr>
        <w:t xml:space="preserve"> (Piety et al., 1998).</w:t>
      </w:r>
    </w:p>
    <w:p>
      <w:pPr>
        <w:pStyle w:val="style1"/>
        <w:numPr>
          <w:ilvl w:val="0"/>
          <w:numId w:val="1"/>
        </w:numPr>
        <w:tabs>
          <w:tab w:leader="none" w:pos="969" w:val="left"/>
          <w:tab w:leader="none" w:pos="5109" w:val="center"/>
        </w:tabs>
        <w:ind w:hanging="429" w:left="429" w:right="650"/>
        <w:jc w:val="both"/>
      </w:pPr>
      <w:r>
        <w:rPr>
          <w:b w:val="false"/>
        </w:rPr>
        <w:t>(j)</w:t>
        <w:tab/>
        <w:t>Cl atoms</w:t>
      </w:r>
      <w:r>
        <w:rPr>
          <w:b w:val="false"/>
          <w:bCs/>
        </w:rPr>
        <w:t xml:space="preserve"> were generated from the photolysis of Cl</w:t>
      </w:r>
      <w:r>
        <w:rPr>
          <w:b w:val="false"/>
          <w:bCs/>
          <w:vertAlign w:val="subscript"/>
        </w:rPr>
        <w:t>2</w:t>
      </w:r>
      <w:r>
        <w:rPr>
          <w:b w:val="false"/>
          <w:bCs/>
        </w:rPr>
        <w:t xml:space="preserve"> in Cl</w:t>
      </w:r>
      <w:r>
        <w:rPr>
          <w:b w:val="false"/>
          <w:bCs/>
          <w:vertAlign w:val="subscript"/>
        </w:rPr>
        <w:t>2</w:t>
      </w:r>
      <w:r>
        <w:rPr>
          <w:b w:val="false"/>
          <w:bCs/>
        </w:rPr>
        <w:t>-CHCl</w:t>
      </w:r>
      <w:r>
        <w:rPr>
          <w:b w:val="false"/>
          <w:bCs/>
          <w:vertAlign w:val="subscript"/>
        </w:rPr>
        <w:t>3</w:t>
      </w:r>
      <w:r>
        <w:rPr>
          <w:b w:val="false"/>
          <w:bCs/>
        </w:rPr>
        <w:t>-CH</w:t>
      </w:r>
      <w:r>
        <w:rPr>
          <w:b w:val="false"/>
          <w:bCs/>
          <w:vertAlign w:val="subscript"/>
        </w:rPr>
        <w:t>4</w:t>
      </w:r>
      <w:r>
        <w:rPr>
          <w:b w:val="false"/>
          <w:bCs/>
        </w:rPr>
        <w:t xml:space="preserve"> and Cl</w:t>
      </w:r>
      <w:r>
        <w:rPr>
          <w:b w:val="false"/>
          <w:bCs/>
          <w:vertAlign w:val="subscript"/>
        </w:rPr>
        <w:t>2</w:t>
      </w:r>
      <w:r>
        <w:rPr>
          <w:b w:val="false"/>
          <w:bCs/>
        </w:rPr>
        <w:t>-CHCl</w:t>
      </w:r>
      <w:r>
        <w:rPr>
          <w:b w:val="false"/>
          <w:bCs/>
          <w:vertAlign w:val="subscript"/>
        </w:rPr>
        <w:t>3</w:t>
      </w:r>
      <w:r>
        <w:rPr>
          <w:b w:val="false"/>
          <w:bCs/>
        </w:rPr>
        <w:t>-CH</w:t>
      </w:r>
      <w:r>
        <w:rPr>
          <w:b w:val="false"/>
          <w:bCs/>
          <w:vertAlign w:val="subscript"/>
        </w:rPr>
        <w:t>2</w:t>
      </w:r>
      <w:r>
        <w:rPr>
          <w:b w:val="false"/>
          <w:bCs/>
        </w:rPr>
        <w:t>F</w:t>
      </w:r>
      <w:r>
        <w:rPr>
          <w:b w:val="false"/>
          <w:bCs/>
          <w:vertAlign w:val="subscript"/>
        </w:rPr>
        <w:t>2</w:t>
      </w:r>
      <w:r>
        <w:rPr>
          <w:b w:val="false"/>
          <w:bCs/>
        </w:rPr>
        <w:t xml:space="preserve"> mixtures int 930 mbar total pressure of N</w:t>
      </w:r>
      <w:r>
        <w:rPr>
          <w:b w:val="false"/>
          <w:bCs/>
          <w:vertAlign w:val="subscript"/>
        </w:rPr>
        <w:t>2</w:t>
      </w:r>
      <w:r>
        <w:rPr>
          <w:b w:val="false"/>
          <w:bCs/>
        </w:rPr>
        <w:t>. The concentrations of CHCl</w:t>
      </w:r>
      <w:r>
        <w:rPr>
          <w:b w:val="false"/>
          <w:bCs/>
          <w:vertAlign w:val="subscript"/>
        </w:rPr>
        <w:t>3</w:t>
      </w:r>
      <w:r>
        <w:rPr>
          <w:b w:val="false"/>
          <w:bCs/>
        </w:rPr>
        <w:t>, CH</w:t>
      </w:r>
      <w:r>
        <w:rPr>
          <w:b w:val="false"/>
          <w:bCs/>
          <w:vertAlign w:val="subscript"/>
        </w:rPr>
        <w:t>4</w:t>
      </w:r>
      <w:r>
        <w:rPr>
          <w:b w:val="false"/>
          <w:bCs/>
        </w:rPr>
        <w:t>, and CH</w:t>
      </w:r>
      <w:r>
        <w:rPr>
          <w:b w:val="false"/>
          <w:bCs/>
          <w:vertAlign w:val="subscript"/>
        </w:rPr>
        <w:t>2</w:t>
      </w:r>
      <w:r>
        <w:rPr>
          <w:b w:val="false"/>
          <w:bCs/>
        </w:rPr>
        <w:t>F</w:t>
      </w:r>
      <w:r>
        <w:rPr>
          <w:b w:val="false"/>
          <w:bCs/>
          <w:vertAlign w:val="subscript"/>
        </w:rPr>
        <w:t>2</w:t>
      </w:r>
      <w:r>
        <w:rPr>
          <w:b w:val="false"/>
          <w:bCs/>
        </w:rPr>
        <w:t xml:space="preserve"> were monitored by FTIR spectroscopy. Rate coefficient ratios </w:t>
      </w:r>
      <w:r>
        <w:rPr>
          <w:b w:val="false"/>
          <w:bCs/>
          <w:i/>
        </w:rPr>
        <w:t>k</w:t>
      </w:r>
      <w:r>
        <w:rPr>
          <w:b w:val="false"/>
          <w:bCs/>
        </w:rPr>
        <w:t>(Cl + CHCl</w:t>
      </w:r>
      <w:r>
        <w:rPr>
          <w:b w:val="false"/>
          <w:bCs/>
          <w:vertAlign w:val="subscript"/>
        </w:rPr>
        <w:t>3</w:t>
      </w:r>
      <w:r>
        <w:rPr>
          <w:b w:val="false"/>
          <w:bCs/>
        </w:rPr>
        <w:t>)/</w:t>
      </w:r>
      <w:r>
        <w:rPr>
          <w:b w:val="false"/>
          <w:bCs/>
          <w:i/>
        </w:rPr>
        <w:t>k</w:t>
      </w:r>
      <w:r>
        <w:rPr>
          <w:b w:val="false"/>
          <w:bCs/>
        </w:rPr>
        <w:t>(Cl+CH</w:t>
      </w:r>
      <w:r>
        <w:rPr>
          <w:b w:val="false"/>
          <w:bCs/>
          <w:vertAlign w:val="subscript"/>
        </w:rPr>
        <w:t>4</w:t>
      </w:r>
      <w:r>
        <w:rPr>
          <w:b w:val="false"/>
          <w:bCs/>
        </w:rPr>
        <w:t xml:space="preserve">) and </w:t>
      </w:r>
      <w:r>
        <w:rPr>
          <w:b w:val="false"/>
          <w:bCs/>
          <w:i/>
        </w:rPr>
        <w:t>k</w:t>
      </w:r>
      <w:r>
        <w:rPr>
          <w:b w:val="false"/>
          <w:bCs/>
        </w:rPr>
        <w:t>(Cl + CHCl</w:t>
      </w:r>
      <w:r>
        <w:rPr>
          <w:b w:val="false"/>
          <w:bCs/>
          <w:vertAlign w:val="subscript"/>
        </w:rPr>
        <w:t>3</w:t>
      </w:r>
      <w:r>
        <w:rPr>
          <w:b w:val="false"/>
          <w:bCs/>
        </w:rPr>
        <w:t>)/</w:t>
      </w:r>
      <w:r>
        <w:rPr>
          <w:b w:val="false"/>
          <w:bCs/>
          <w:i/>
        </w:rPr>
        <w:t>k</w:t>
      </w:r>
      <w:r>
        <w:rPr>
          <w:b w:val="false"/>
          <w:bCs/>
        </w:rPr>
        <w:t>(Cl+CH</w:t>
      </w:r>
      <w:r>
        <w:rPr>
          <w:b w:val="false"/>
          <w:bCs/>
          <w:vertAlign w:val="subscript"/>
        </w:rPr>
        <w:t>2</w:t>
      </w:r>
      <w:r>
        <w:rPr>
          <w:b w:val="false"/>
          <w:bCs/>
        </w:rPr>
        <w:t>F</w:t>
      </w:r>
      <w:r>
        <w:rPr>
          <w:b w:val="false"/>
          <w:bCs/>
          <w:vertAlign w:val="subscript"/>
        </w:rPr>
        <w:t>2</w:t>
      </w:r>
      <w:r>
        <w:rPr>
          <w:b w:val="false"/>
          <w:bCs/>
        </w:rPr>
        <w:t xml:space="preserve">) were placed on an absolute basis using </w:t>
      </w:r>
      <w:r>
        <w:rPr>
          <w:b w:val="false"/>
          <w:bCs/>
          <w:i/>
        </w:rPr>
        <w:t>k</w:t>
      </w:r>
      <w:r>
        <w:rPr>
          <w:b w:val="false"/>
          <w:bCs/>
        </w:rPr>
        <w:t>(Cl+CH</w:t>
      </w:r>
      <w:r>
        <w:rPr>
          <w:b w:val="false"/>
          <w:bCs/>
          <w:vertAlign w:val="subscript"/>
        </w:rPr>
        <w:t>4</w:t>
      </w:r>
      <w:r>
        <w:rPr>
          <w:b w:val="false"/>
          <w:bCs/>
        </w:rPr>
        <w:t>) = 6.6 x 10</w:t>
      </w:r>
      <w:r>
        <w:rPr>
          <w:b w:val="false"/>
          <w:bCs/>
          <w:vertAlign w:val="superscript"/>
        </w:rPr>
        <w:t>-12</w:t>
      </w:r>
      <w:r>
        <w:rPr>
          <w:b w:val="false"/>
          <w:bCs/>
        </w:rPr>
        <w:t xml:space="preserve"> exp (-1240/</w:t>
      </w:r>
      <w:r>
        <w:rPr>
          <w:b w:val="false"/>
          <w:bCs/>
          <w:i/>
        </w:rPr>
        <w:t>T</w:t>
      </w:r>
      <w:r>
        <w:rPr>
          <w:b w:val="false"/>
          <w:bCs/>
        </w:rPr>
        <w:t xml:space="preserve">) and </w:t>
      </w:r>
      <w:r>
        <w:rPr>
          <w:b w:val="false"/>
          <w:bCs/>
          <w:i/>
        </w:rPr>
        <w:t>k</w:t>
      </w:r>
      <w:r>
        <w:rPr>
          <w:b w:val="false"/>
          <w:bCs/>
        </w:rPr>
        <w:t>(Cl+CH</w:t>
      </w:r>
      <w:r>
        <w:rPr>
          <w:b w:val="false"/>
          <w:bCs/>
          <w:vertAlign w:val="subscript"/>
        </w:rPr>
        <w:t>2</w:t>
      </w:r>
      <w:r>
        <w:rPr>
          <w:b w:val="false"/>
          <w:bCs/>
        </w:rPr>
        <w:t>F</w:t>
      </w:r>
      <w:r>
        <w:rPr>
          <w:b w:val="false"/>
          <w:bCs/>
          <w:vertAlign w:val="subscript"/>
        </w:rPr>
        <w:t>2</w:t>
      </w:r>
      <w:r>
        <w:rPr>
          <w:b w:val="false"/>
          <w:bCs/>
        </w:rPr>
        <w:t>) = 6.93 x 10</w:t>
      </w:r>
      <w:r>
        <w:rPr>
          <w:b w:val="false"/>
          <w:bCs/>
          <w:vertAlign w:val="superscript"/>
        </w:rPr>
        <w:t>-12</w:t>
      </w:r>
      <w:r>
        <w:rPr>
          <w:b w:val="false"/>
          <w:bCs/>
        </w:rPr>
        <w:t xml:space="preserve"> exp (-1591/</w:t>
      </w:r>
      <w:r>
        <w:rPr>
          <w:b w:val="false"/>
          <w:bCs/>
          <w:i/>
        </w:rPr>
        <w:t>T</w:t>
      </w:r>
      <w:r>
        <w:rPr>
          <w:b w:val="false"/>
          <w:bCs/>
        </w:rPr>
        <w:t>) cm</w:t>
      </w:r>
      <w:r>
        <w:rPr>
          <w:b w:val="false"/>
          <w:bCs/>
          <w:vertAlign w:val="superscript"/>
        </w:rPr>
        <w:t>3</w:t>
      </w:r>
      <w:r>
        <w:rPr>
          <w:b w:val="false"/>
          <w:bCs/>
        </w:rPr>
        <w:t xml:space="preserve"> molecule</w:t>
      </w:r>
      <w:r>
        <w:rPr>
          <w:b w:val="false"/>
          <w:bCs/>
          <w:vertAlign w:val="superscript"/>
        </w:rPr>
        <w:t>-1</w:t>
      </w:r>
      <w:r>
        <w:rPr>
          <w:b w:val="false"/>
          <w:bCs/>
        </w:rPr>
        <w:t xml:space="preserve"> s</w:t>
      </w:r>
      <w:r>
        <w:rPr>
          <w:b w:val="false"/>
          <w:bCs/>
          <w:vertAlign w:val="superscript"/>
        </w:rPr>
        <w:t>-1</w:t>
      </w:r>
      <w:r>
        <w:rPr>
          <w:b w:val="false"/>
          <w:bCs/>
        </w:rPr>
        <w:t xml:space="preserve"> (Atkinson et al., 2006; Atkinson et al., 2008).</w:t>
      </w:r>
    </w:p>
    <w:p>
      <w:pPr>
        <w:pStyle w:val="style1"/>
        <w:numPr>
          <w:ilvl w:val="0"/>
          <w:numId w:val="1"/>
        </w:numPr>
      </w:pPr>
      <w:r>
        <w:rPr>
          <w:b w:val="false"/>
          <w:bCs/>
        </w:rPr>
      </w:r>
    </w:p>
    <w:p>
      <w:pPr>
        <w:pStyle w:val="style0"/>
        <w:tabs>
          <w:tab w:leader="none" w:pos="4680" w:val="center"/>
        </w:tabs>
        <w:spacing w:line="240" w:lineRule="atLeast"/>
        <w:jc w:val="center"/>
      </w:pPr>
      <w:r>
        <w:rPr>
          <w:b/>
          <w:spacing w:val="-3"/>
          <w:sz w:val="24"/>
          <w:lang w:val="en-US"/>
        </w:rPr>
        <w:t>Preferred Values</w:t>
      </w:r>
    </w:p>
    <w:p>
      <w:pPr>
        <w:pStyle w:val="style0"/>
        <w:tabs>
          <w:tab w:leader="none" w:pos="0" w:val="left"/>
          <w:tab w:leader="none" w:pos="444" w:val="left"/>
          <w:tab w:leader="none" w:pos="720" w:val="left"/>
        </w:tabs>
        <w:spacing w:line="240" w:lineRule="atLeast"/>
        <w:jc w:val="both"/>
      </w:pPr>
      <w:r>
        <w:rPr>
          <w:spacing w:val="-3"/>
          <w:sz w:val="24"/>
          <w:lang w:val="en-US"/>
        </w:rPr>
      </w:r>
    </w:p>
    <w:tbl>
      <w:tblPr>
        <w:jc w:val="left"/>
        <w:tblInd w:type="dxa" w:w="0"/>
        <w:tblBorders>
          <w:top w:color="000001" w:space="0" w:sz="4" w:val="single"/>
          <w:left w:val="none"/>
          <w:bottom w:color="000001" w:space="0" w:sz="4" w:val="single"/>
          <w:insideH w:color="000001" w:space="0" w:sz="4" w:val="single"/>
          <w:right w:val="none"/>
          <w:insideV w:val="none"/>
        </w:tblBorders>
        <w:tblCellMar>
          <w:top w:type="dxa" w:w="0"/>
          <w:left w:type="dxa" w:w="108"/>
          <w:bottom w:type="dxa" w:w="0"/>
          <w:right w:type="dxa" w:w="108"/>
        </w:tblCellMar>
      </w:tblPr>
      <w:tblGrid>
        <w:gridCol w:w="3348"/>
        <w:gridCol w:w="3779"/>
        <w:gridCol w:w="2176"/>
      </w:tblGrid>
      <w:tr>
        <w:trPr>
          <w:cantSplit w:val="false"/>
        </w:trPr>
        <w:tc>
          <w:tcPr>
            <w:tcW w:type="dxa" w:w="3348"/>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spacing w:val="-3"/>
                <w:sz w:val="24"/>
                <w:lang w:val="en-US"/>
              </w:rPr>
              <w:t>Parameter</w:t>
            </w:r>
          </w:p>
        </w:tc>
        <w:tc>
          <w:tcPr>
            <w:tcW w:type="dxa" w:w="3779"/>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spacing w:val="-3"/>
                <w:sz w:val="24"/>
                <w:lang w:val="en-US"/>
              </w:rPr>
              <w:t>Value</w:t>
            </w:r>
          </w:p>
        </w:tc>
        <w:tc>
          <w:tcPr>
            <w:tcW w:type="dxa" w:w="2176"/>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i/>
                <w:iCs/>
                <w:spacing w:val="-3"/>
                <w:sz w:val="24"/>
                <w:lang w:val="en-US"/>
              </w:rPr>
              <w:t>T</w:t>
            </w:r>
            <w:r>
              <w:rPr>
                <w:b/>
                <w:spacing w:val="-3"/>
                <w:sz w:val="24"/>
                <w:lang w:val="en-US"/>
              </w:rPr>
              <w:t>/K</w:t>
            </w:r>
          </w:p>
        </w:tc>
      </w:tr>
      <w:tr>
        <w:trPr>
          <w:cantSplit w:val="false"/>
        </w:trPr>
        <w:tc>
          <w:tcPr>
            <w:tcW w:type="dxa" w:w="3348"/>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b/>
                <w:i/>
                <w:spacing w:val="-3"/>
                <w:sz w:val="24"/>
                <w:lang w:val="en-US"/>
              </w:rPr>
            </w:r>
          </w:p>
        </w:tc>
        <w:tc>
          <w:tcPr>
            <w:tcW w:type="dxa" w:w="3779"/>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pPr>
            <w:r>
              <w:rPr>
                <w:spacing w:val="-3"/>
                <w:sz w:val="24"/>
                <w:lang w:val="en-US"/>
              </w:rPr>
            </w:r>
          </w:p>
        </w:tc>
        <w:tc>
          <w:tcPr>
            <w:tcW w:type="dxa" w:w="2176"/>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r>
          </w:p>
        </w:tc>
      </w:tr>
      <w:tr>
        <w:trPr>
          <w:cantSplit w:val="false"/>
        </w:trPr>
        <w:tc>
          <w:tcPr>
            <w:tcW w:type="dxa" w:w="3348"/>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lang w:val="en-US"/>
              </w:rPr>
              <w:t>k</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p>
        </w:tc>
        <w:tc>
          <w:tcPr>
            <w:tcW w:type="dxa" w:w="377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1.1 x 10</w:t>
            </w:r>
            <w:r>
              <w:rPr>
                <w:spacing w:val="-3"/>
                <w:sz w:val="24"/>
                <w:vertAlign w:val="superscript"/>
                <w:lang w:val="en-US"/>
              </w:rPr>
              <w:t>-13</w:t>
            </w:r>
          </w:p>
        </w:tc>
        <w:tc>
          <w:tcPr>
            <w:tcW w:type="dxa" w:w="2176"/>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298</w:t>
            </w:r>
          </w:p>
        </w:tc>
      </w:tr>
      <w:tr>
        <w:trPr>
          <w:cantSplit w:val="false"/>
        </w:trPr>
        <w:tc>
          <w:tcPr>
            <w:tcW w:type="dxa" w:w="3348"/>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lang w:val="en-US"/>
              </w:rPr>
              <w:t xml:space="preserve">k </w:t>
            </w:r>
            <w:r>
              <w:rPr>
                <w:iCs/>
                <w:spacing w:val="-3"/>
                <w:sz w:val="24"/>
                <w:lang w:val="en-US"/>
              </w:rPr>
              <w:t>/</w:t>
            </w:r>
            <w:r>
              <w:rPr>
                <w:spacing w:val="-3"/>
                <w:sz w:val="24"/>
                <w:lang w:val="en-US"/>
              </w:rPr>
              <w:t>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p>
        </w:tc>
        <w:tc>
          <w:tcPr>
            <w:tcW w:type="dxa" w:w="377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2.14 x 10</w:t>
            </w:r>
            <w:r>
              <w:rPr>
                <w:spacing w:val="-3"/>
                <w:sz w:val="24"/>
                <w:vertAlign w:val="superscript"/>
                <w:lang w:val="en-US"/>
              </w:rPr>
              <w:t>-12</w:t>
            </w:r>
            <w:r>
              <w:rPr>
                <w:spacing w:val="-3"/>
                <w:sz w:val="24"/>
                <w:lang w:val="en-US"/>
              </w:rPr>
              <w:t xml:space="preserve"> exp(-884/</w:t>
            </w:r>
            <w:r>
              <w:rPr>
                <w:i/>
                <w:spacing w:val="-3"/>
                <w:sz w:val="24"/>
                <w:lang w:val="en-US"/>
              </w:rPr>
              <w:t>T</w:t>
            </w:r>
            <w:r>
              <w:rPr>
                <w:spacing w:val="-3"/>
                <w:sz w:val="24"/>
                <w:lang w:val="en-US"/>
              </w:rPr>
              <w:t>)</w:t>
            </w:r>
          </w:p>
        </w:tc>
        <w:tc>
          <w:tcPr>
            <w:tcW w:type="dxa" w:w="2176"/>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220-400</w:t>
            </w:r>
          </w:p>
        </w:tc>
      </w:tr>
    </w:tbl>
    <w:p>
      <w:pPr>
        <w:pStyle w:val="style0"/>
        <w:tabs>
          <w:tab w:leader="none" w:pos="0" w:val="left"/>
          <w:tab w:leader="none" w:pos="444" w:val="left"/>
          <w:tab w:leader="none" w:pos="720" w:val="left"/>
        </w:tabs>
        <w:spacing w:line="240" w:lineRule="atLeast"/>
        <w:jc w:val="both"/>
      </w:pPr>
      <w:r>
        <w:rPr/>
      </w:r>
    </w:p>
    <w:p>
      <w:pPr>
        <w:pStyle w:val="style0"/>
        <w:tabs>
          <w:tab w:leader="none" w:pos="0" w:val="left"/>
          <w:tab w:leader="none" w:pos="444" w:val="left"/>
          <w:tab w:leader="none" w:pos="720" w:val="left"/>
        </w:tabs>
        <w:spacing w:line="240" w:lineRule="atLeast"/>
        <w:jc w:val="both"/>
      </w:pPr>
      <w:r>
        <w:rPr>
          <w:i/>
          <w:spacing w:val="-3"/>
          <w:sz w:val="24"/>
          <w:lang w:val="en-US"/>
        </w:rPr>
        <w:t>Reliability</w:t>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3348"/>
        <w:gridCol w:w="3779"/>
        <w:gridCol w:w="2176"/>
      </w:tblGrid>
      <w:tr>
        <w:trPr>
          <w:cantSplit w:val="false"/>
        </w:trPr>
        <w:tc>
          <w:tcPr>
            <w:tcW w:type="dxa" w:w="3348"/>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rFonts w:ascii="Symbol" w:hAnsi="Symbol"/>
                <w:spacing w:val="-3"/>
                <w:sz w:val="24"/>
                <w:lang w:val="en-US"/>
              </w:rPr>
              <w:t></w:t>
            </w:r>
            <w:r>
              <w:rPr>
                <w:spacing w:val="-3"/>
                <w:sz w:val="24"/>
                <w:lang w:val="en-US"/>
              </w:rPr>
              <w:t xml:space="preserve"> </w:t>
            </w:r>
            <w:r>
              <w:rPr>
                <w:spacing w:val="-3"/>
                <w:sz w:val="24"/>
                <w:lang w:val="en-US"/>
              </w:rPr>
              <w:t>log</w:t>
            </w:r>
            <w:r>
              <w:rPr>
                <w:i/>
                <w:spacing w:val="-3"/>
                <w:sz w:val="24"/>
                <w:lang w:val="en-US"/>
              </w:rPr>
              <w:t xml:space="preserve"> k</w:t>
            </w:r>
          </w:p>
        </w:tc>
        <w:tc>
          <w:tcPr>
            <w:tcW w:type="dxa" w:w="377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 0.06</w:t>
            </w:r>
          </w:p>
        </w:tc>
        <w:tc>
          <w:tcPr>
            <w:tcW w:type="dxa" w:w="2176"/>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298</w:t>
            </w:r>
          </w:p>
        </w:tc>
      </w:tr>
      <w:tr>
        <w:trPr>
          <w:cantSplit w:val="false"/>
        </w:trPr>
        <w:tc>
          <w:tcPr>
            <w:tcW w:type="dxa" w:w="3348"/>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rFonts w:ascii="Symbol" w:hAnsi="Symbol"/>
                <w:spacing w:val="-3"/>
                <w:sz w:val="24"/>
                <w:lang w:val="en-US"/>
              </w:rPr>
              <w:t></w:t>
            </w:r>
            <w:r>
              <w:rPr>
                <w:spacing w:val="-3"/>
                <w:sz w:val="24"/>
                <w:lang w:val="en-US"/>
              </w:rPr>
              <w:t xml:space="preserve"> </w:t>
            </w:r>
            <w:r>
              <w:rPr>
                <w:spacing w:val="-3"/>
                <w:sz w:val="24"/>
                <w:lang w:val="en-US"/>
              </w:rPr>
              <w:t>E/R</w:t>
            </w:r>
          </w:p>
        </w:tc>
        <w:tc>
          <w:tcPr>
            <w:tcW w:type="dxa" w:w="3779"/>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 200</w:t>
            </w:r>
          </w:p>
        </w:tc>
        <w:tc>
          <w:tcPr>
            <w:tcW w:type="dxa" w:w="2176"/>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r>
          </w:p>
        </w:tc>
      </w:tr>
    </w:tbl>
    <w:p>
      <w:pPr>
        <w:pStyle w:val="style0"/>
        <w:tabs>
          <w:tab w:leader="none" w:pos="0" w:val="left"/>
          <w:tab w:leader="none" w:pos="444" w:val="left"/>
          <w:tab w:leader="none" w:pos="720" w:val="left"/>
        </w:tabs>
        <w:spacing w:line="240" w:lineRule="atLeast"/>
        <w:jc w:val="both"/>
      </w:pPr>
      <w:r>
        <w:rPr/>
      </w:r>
    </w:p>
    <w:p>
      <w:pPr>
        <w:pStyle w:val="style0"/>
        <w:tabs>
          <w:tab w:leader="none" w:pos="0" w:val="left"/>
          <w:tab w:leader="none" w:pos="444" w:val="left"/>
          <w:tab w:leader="none" w:pos="720" w:val="left"/>
        </w:tabs>
        <w:spacing w:line="240" w:lineRule="atLeast"/>
        <w:jc w:val="both"/>
      </w:pPr>
      <w:r>
        <w:rPr>
          <w:i/>
          <w:spacing w:val="-3"/>
          <w:sz w:val="24"/>
          <w:lang w:val="en-US"/>
        </w:rPr>
        <w:t>Comments on Preferred Values</w:t>
      </w:r>
    </w:p>
    <w:p>
      <w:pPr>
        <w:pStyle w:val="style0"/>
        <w:tabs>
          <w:tab w:leader="none" w:pos="346" w:val="left"/>
          <w:tab w:leader="none" w:pos="790" w:val="left"/>
          <w:tab w:leader="none" w:pos="1066" w:val="left"/>
        </w:tabs>
        <w:spacing w:line="240" w:lineRule="atLeast"/>
        <w:ind w:hanging="0" w:left="346" w:right="664"/>
        <w:jc w:val="both"/>
      </w:pPr>
      <w:r>
        <w:rPr>
          <w:sz w:val="24"/>
          <w:szCs w:val="24"/>
        </w:rPr>
        <w:t xml:space="preserve">The absolute rate constants of Watson et al. </w:t>
      </w:r>
      <w:r>
        <w:rPr>
          <w:sz w:val="24"/>
          <w:szCs w:val="24"/>
          <w:lang w:val="da-DK"/>
        </w:rPr>
        <w:t xml:space="preserve">(1976), Beichert et al. (1995), and Bryukov et al. </w:t>
      </w:r>
      <w:r>
        <w:rPr>
          <w:sz w:val="24"/>
          <w:szCs w:val="24"/>
        </w:rPr>
        <w:t xml:space="preserve">(2002), and the relative rate constants of Beichert et al. (1995), Brahan et al. (1996), Catoire et al. (1996), Orlando (1999), Gola et al. (2009), and Nilsson et al. (2010) are in good agreement. The value at 298 K reported by Knox et al. (1962) is for reasons which are unclear lower than the other studies. The 298 K recommendation is an average result from these studies. Fitting the Arrhenius expression to the data reported in these studies at temperatures below 400 K and adjusting the A factor for consistency with the recommended rate coefficient at 298 K gives the recommended expression given above. </w:t>
      </w:r>
      <w:r>
        <w:rPr>
          <w:spacing w:val="-3"/>
          <w:sz w:val="24"/>
          <w:szCs w:val="24"/>
          <w:lang w:val="en-US"/>
        </w:rPr>
        <w:t xml:space="preserve">Fitting the three-parameter equation </w:t>
      </w:r>
      <w:r>
        <w:rPr>
          <w:i/>
          <w:iCs/>
          <w:spacing w:val="-3"/>
          <w:sz w:val="24"/>
          <w:szCs w:val="24"/>
          <w:lang w:val="en-US"/>
        </w:rPr>
        <w:t>k</w:t>
      </w:r>
      <w:r>
        <w:rPr>
          <w:spacing w:val="-3"/>
          <w:sz w:val="24"/>
          <w:szCs w:val="24"/>
          <w:lang w:val="en-US"/>
        </w:rPr>
        <w:t xml:space="preserve"> = </w:t>
      </w:r>
      <w:r>
        <w:rPr>
          <w:i/>
          <w:iCs/>
          <w:spacing w:val="-3"/>
          <w:sz w:val="24"/>
          <w:szCs w:val="24"/>
          <w:lang w:val="en-US"/>
        </w:rPr>
        <w:t>CT</w:t>
      </w:r>
      <w:r>
        <w:rPr>
          <w:spacing w:val="-3"/>
          <w:sz w:val="24"/>
          <w:szCs w:val="24"/>
          <w:vertAlign w:val="superscript"/>
          <w:lang w:val="en-US"/>
        </w:rPr>
        <w:t>2</w:t>
      </w:r>
      <w:r>
        <w:rPr>
          <w:spacing w:val="-3"/>
          <w:sz w:val="24"/>
          <w:szCs w:val="24"/>
          <w:lang w:val="en-US"/>
        </w:rPr>
        <w:t xml:space="preserve"> exp(-</w:t>
      </w:r>
      <w:r>
        <w:rPr>
          <w:i/>
          <w:iCs/>
          <w:spacing w:val="-3"/>
          <w:sz w:val="24"/>
          <w:szCs w:val="24"/>
          <w:lang w:val="en-US"/>
        </w:rPr>
        <w:t>D/T</w:t>
      </w:r>
      <w:r>
        <w:rPr>
          <w:spacing w:val="-3"/>
          <w:sz w:val="24"/>
          <w:szCs w:val="24"/>
          <w:lang w:val="en-US"/>
        </w:rPr>
        <w:t xml:space="preserve">) to the data from </w:t>
      </w:r>
      <w:r>
        <w:rPr>
          <w:sz w:val="24"/>
          <w:szCs w:val="24"/>
        </w:rPr>
        <w:t xml:space="preserve">Beichert et al. (1995) and Bryukov et al. (2002), Beichert et al. </w:t>
      </w:r>
      <w:r>
        <w:rPr>
          <w:sz w:val="24"/>
          <w:szCs w:val="24"/>
          <w:lang w:val="da-DK"/>
        </w:rPr>
        <w:t xml:space="preserve">(1995), Brahan et al. (1996), Catoire et al. (1996) and Orlando (1999), Gola et al. (2009), and Nilsson et al. </w:t>
      </w:r>
      <w:r>
        <w:rPr>
          <w:sz w:val="24"/>
          <w:szCs w:val="24"/>
        </w:rPr>
        <w:t xml:space="preserve">(2010) </w:t>
      </w:r>
      <w:r>
        <w:rPr>
          <w:spacing w:val="-3"/>
          <w:sz w:val="24"/>
          <w:lang w:val="en-US"/>
        </w:rPr>
        <w:t xml:space="preserve">gives </w:t>
      </w:r>
      <w:r>
        <w:rPr>
          <w:i/>
          <w:iCs/>
          <w:spacing w:val="-3"/>
          <w:sz w:val="24"/>
          <w:szCs w:val="24"/>
          <w:lang w:val="en-US"/>
        </w:rPr>
        <w:t>k</w:t>
      </w:r>
      <w:r>
        <w:rPr>
          <w:spacing w:val="-3"/>
          <w:sz w:val="24"/>
          <w:szCs w:val="24"/>
          <w:lang w:val="en-US"/>
        </w:rPr>
        <w:t xml:space="preserve"> = 3.27 x 10</w:t>
      </w:r>
      <w:r>
        <w:rPr>
          <w:spacing w:val="-3"/>
          <w:sz w:val="24"/>
          <w:szCs w:val="24"/>
          <w:vertAlign w:val="superscript"/>
          <w:lang w:val="en-US"/>
        </w:rPr>
        <w:t>-18</w:t>
      </w:r>
      <w:r>
        <w:rPr>
          <w:spacing w:val="-3"/>
          <w:sz w:val="24"/>
          <w:szCs w:val="24"/>
          <w:lang w:val="en-US"/>
        </w:rPr>
        <w:t xml:space="preserve"> </w:t>
      </w:r>
      <w:r>
        <w:rPr>
          <w:i/>
          <w:iCs/>
          <w:spacing w:val="-3"/>
          <w:sz w:val="24"/>
          <w:szCs w:val="24"/>
          <w:lang w:val="en-US"/>
        </w:rPr>
        <w:t>T</w:t>
      </w:r>
      <w:r>
        <w:rPr>
          <w:spacing w:val="-3"/>
          <w:sz w:val="24"/>
          <w:szCs w:val="24"/>
          <w:vertAlign w:val="superscript"/>
          <w:lang w:val="en-US"/>
        </w:rPr>
        <w:t>2</w:t>
      </w:r>
      <w:r>
        <w:rPr>
          <w:spacing w:val="-3"/>
          <w:sz w:val="24"/>
          <w:szCs w:val="24"/>
          <w:lang w:val="en-US"/>
        </w:rPr>
        <w:t xml:space="preserve"> exp(-287/</w:t>
      </w:r>
      <w:r>
        <w:rPr>
          <w:i/>
          <w:iCs/>
          <w:spacing w:val="-3"/>
          <w:sz w:val="24"/>
          <w:szCs w:val="24"/>
          <w:lang w:val="en-US"/>
        </w:rPr>
        <w:t>T</w:t>
      </w:r>
      <w:r>
        <w:rPr>
          <w:spacing w:val="-3"/>
          <w:sz w:val="24"/>
          <w:szCs w:val="24"/>
          <w:lang w:val="en-US"/>
        </w:rPr>
        <w:t>) cm</w:t>
      </w:r>
      <w:r>
        <w:rPr>
          <w:spacing w:val="-3"/>
          <w:sz w:val="24"/>
          <w:szCs w:val="24"/>
          <w:vertAlign w:val="superscript"/>
          <w:lang w:val="en-US"/>
        </w:rPr>
        <w:t>3</w:t>
      </w:r>
      <w:r>
        <w:rPr>
          <w:spacing w:val="-3"/>
          <w:sz w:val="24"/>
          <w:szCs w:val="24"/>
          <w:lang w:val="en-US"/>
        </w:rPr>
        <w:t xml:space="preserve"> molecule</w:t>
      </w:r>
      <w:r>
        <w:rPr>
          <w:spacing w:val="-3"/>
          <w:sz w:val="24"/>
          <w:szCs w:val="24"/>
          <w:vertAlign w:val="superscript"/>
          <w:lang w:val="en-US"/>
        </w:rPr>
        <w:t>-1</w:t>
      </w:r>
      <w:r>
        <w:rPr>
          <w:spacing w:val="-3"/>
          <w:sz w:val="24"/>
          <w:szCs w:val="24"/>
          <w:lang w:val="en-US"/>
        </w:rPr>
        <w:t xml:space="preserve"> s</w:t>
      </w:r>
      <w:r>
        <w:rPr>
          <w:spacing w:val="-3"/>
          <w:sz w:val="24"/>
          <w:szCs w:val="24"/>
          <w:vertAlign w:val="superscript"/>
          <w:lang w:val="en-US"/>
        </w:rPr>
        <w:t>-1</w:t>
      </w:r>
      <w:r>
        <w:rPr>
          <w:spacing w:val="-3"/>
          <w:sz w:val="24"/>
          <w:szCs w:val="24"/>
          <w:lang w:val="en-US"/>
        </w:rPr>
        <w:t xml:space="preserve"> which can be used for temperatures up to 855 K.</w:t>
      </w:r>
    </w:p>
    <w:p>
      <w:pPr>
        <w:pStyle w:val="style3"/>
        <w:numPr>
          <w:ilvl w:val="2"/>
          <w:numId w:val="1"/>
        </w:numPr>
        <w:tabs>
          <w:tab w:leader="none" w:pos="0" w:val="left"/>
          <w:tab w:leader="none" w:pos="444" w:val="left"/>
          <w:tab w:leader="none" w:pos="720" w:val="left"/>
        </w:tabs>
      </w:pPr>
      <w:r>
        <w:rPr/>
        <w:t xml:space="preserve"> </w:t>
      </w:r>
    </w:p>
    <w:p>
      <w:pPr>
        <w:pStyle w:val="style0"/>
        <w:tabs>
          <w:tab w:leader="none" w:pos="4680" w:val="center"/>
        </w:tabs>
        <w:spacing w:line="240" w:lineRule="atLeast"/>
        <w:jc w:val="center"/>
      </w:pPr>
      <w:r>
        <w:rPr>
          <w:b/>
          <w:spacing w:val="-3"/>
          <w:sz w:val="24"/>
          <w:lang w:val="en-US"/>
        </w:rPr>
        <w:t>References</w:t>
      </w:r>
    </w:p>
    <w:p>
      <w:pPr>
        <w:pStyle w:val="style0"/>
        <w:tabs>
          <w:tab w:leader="none" w:pos="0" w:val="left"/>
          <w:tab w:leader="none" w:pos="288" w:val="left"/>
          <w:tab w:leader="none" w:pos="720" w:val="left"/>
        </w:tabs>
        <w:spacing w:line="240" w:lineRule="atLeast"/>
        <w:jc w:val="both"/>
      </w:pPr>
      <w:r>
        <w:rPr>
          <w:spacing w:val="-3"/>
          <w:sz w:val="24"/>
          <w:lang w:val="en-US"/>
        </w:rPr>
      </w:r>
    </w:p>
    <w:p>
      <w:pPr>
        <w:pStyle w:val="style0"/>
        <w:widowControl/>
        <w:ind w:hanging="0" w:left="346" w:right="539"/>
      </w:pPr>
      <w:r>
        <w:rPr>
          <w:spacing w:val="-3"/>
          <w:sz w:val="24"/>
          <w:lang w:val="en-US"/>
        </w:rPr>
        <w:t>Atkinson, R., Baulch, D. L., Cox, R. A., Crowley, J. N., Hampson, R. F., Hynes, R. G., Jenkin, M. E., Rossi, M. J., an</w:t>
      </w:r>
      <w:bookmarkStart w:id="2" w:name="_GoBack"/>
      <w:bookmarkEnd w:id="2"/>
      <w:r>
        <w:rPr>
          <w:spacing w:val="-3"/>
          <w:sz w:val="24"/>
          <w:lang w:val="en-US"/>
        </w:rPr>
        <w:t xml:space="preserve">d Troe, J.: Atmos. Chem. </w:t>
      </w:r>
      <w:r>
        <w:rPr>
          <w:spacing w:val="-3"/>
          <w:sz w:val="24"/>
          <w:szCs w:val="24"/>
          <w:lang w:val="en-US"/>
        </w:rPr>
        <w:t xml:space="preserve">Phys., 6, 3625, 2006; IUPAC Task Group on Atmospheric Chemical Kinetic Data Evaluation, </w:t>
      </w:r>
      <w:hyperlink r:id="rId4">
        <w:r>
          <w:rPr>
            <w:rStyle w:val="style18"/>
            <w:sz w:val="24"/>
            <w:szCs w:val="24"/>
          </w:rPr>
          <w:t>http://iupac.pole-ether.fr</w:t>
        </w:r>
      </w:hyperlink>
    </w:p>
    <w:p>
      <w:pPr>
        <w:pStyle w:val="style0"/>
        <w:widowControl/>
        <w:ind w:hanging="0" w:left="346" w:right="539"/>
      </w:pPr>
      <w:r>
        <w:rPr>
          <w:spacing w:val="-3"/>
          <w:sz w:val="24"/>
          <w:szCs w:val="24"/>
          <w:lang w:val="en-US"/>
        </w:rPr>
        <w:t xml:space="preserve">Atkinson, R., Baulch, D. L., Cox, R. A., Crowley, J. N., Hampson, R. F., Hynes, R. G., Jenkin, M. E., Rossi, M. J., Troe, J., and Wallington, T. J.: Atmos. Chem. Phys., 8, 4141, 2008; IUPAC Task Group on Atmospheric Chemical Kinetic Data Evaluation, </w:t>
      </w:r>
      <w:hyperlink r:id="rId5">
        <w:r>
          <w:rPr>
            <w:rStyle w:val="style18"/>
            <w:sz w:val="24"/>
            <w:szCs w:val="24"/>
          </w:rPr>
          <w:t>http://iupac.pole-ether.fr</w:t>
        </w:r>
      </w:hyperlink>
    </w:p>
    <w:p>
      <w:pPr>
        <w:pStyle w:val="style28"/>
        <w:ind w:hanging="0" w:left="346" w:right="539"/>
      </w:pPr>
      <w:r>
        <w:rPr>
          <w:sz w:val="24"/>
          <w:szCs w:val="24"/>
        </w:rPr>
        <w:t>Beichert, P., Wingen, L., Lee, J., Vogt, R., Ezell, M. J., Ragains, M., Neavyn, R., and Finlayson-Pitts, B. J.: J. Phys. Chem., 99, 13156, 1995.</w:t>
      </w:r>
    </w:p>
    <w:p>
      <w:pPr>
        <w:pStyle w:val="style28"/>
        <w:ind w:hanging="0" w:left="346" w:right="539"/>
      </w:pPr>
      <w:r>
        <w:rPr/>
        <w:t>Brahan, K. M., Hewitt, A. D., Boone, G. D., and Hewitt, S. A: Int. J. Chem. Kin., 28, 397, 1996.</w:t>
      </w:r>
    </w:p>
    <w:p>
      <w:pPr>
        <w:pStyle w:val="style0"/>
        <w:tabs>
          <w:tab w:leader="none" w:pos="5026" w:val="center"/>
        </w:tabs>
        <w:spacing w:line="240" w:lineRule="atLeast"/>
        <w:ind w:hanging="0" w:left="346" w:right="539"/>
      </w:pPr>
      <w:r>
        <w:rPr>
          <w:spacing w:val="-3"/>
          <w:sz w:val="24"/>
          <w:lang w:val="en-US"/>
        </w:rPr>
        <w:t>Bryukov, M. G., Slagle, I. R, and Knyazev, D.: J. Phys. Chem. A, 106, 10532, 2002.</w:t>
      </w:r>
    </w:p>
    <w:p>
      <w:pPr>
        <w:pStyle w:val="style0"/>
        <w:tabs>
          <w:tab w:leader="none" w:pos="706" w:val="left"/>
          <w:tab w:leader="none" w:pos="5026" w:val="center"/>
        </w:tabs>
        <w:spacing w:line="240" w:lineRule="atLeast"/>
        <w:ind w:hanging="0" w:left="346" w:right="539"/>
      </w:pPr>
      <w:r>
        <w:rPr>
          <w:spacing w:val="-3"/>
          <w:sz w:val="24"/>
          <w:lang w:val="en-US"/>
        </w:rPr>
        <w:t xml:space="preserve">Catoire, V., Lesclaux, R., Schneider, W. F., and Wallington, T. J.: J. Phys. Chem., 100, 14356, </w:t>
        <w:tab/>
        <w:t>1996.</w:t>
      </w:r>
    </w:p>
    <w:p>
      <w:pPr>
        <w:pStyle w:val="style23"/>
        <w:ind w:hanging="0" w:left="346" w:right="539"/>
      </w:pPr>
      <w:r>
        <w:rPr/>
        <w:t>Clyne, M. A. A., and Walker, R. F.: J. Chem. Soc. Faraday Trans,. 1, 69, 1547, 1973.</w:t>
      </w:r>
    </w:p>
    <w:p>
      <w:pPr>
        <w:pStyle w:val="style23"/>
        <w:ind w:hanging="0" w:left="346" w:right="539"/>
      </w:pPr>
      <w:r>
        <w:rPr/>
        <w:t>Davis, D. D., Braun, W., and Bass, A. M.: Int. J. Chem. Kinet., 2, 101, 1970.</w:t>
      </w:r>
    </w:p>
    <w:p>
      <w:pPr>
        <w:pStyle w:val="style23"/>
        <w:ind w:hanging="0" w:left="346" w:right="539"/>
      </w:pPr>
      <w:r>
        <w:rPr/>
        <w:t xml:space="preserve">Gola, A. A., Sarzyński, D., Dryś, A. Jodkowski, J.T.: </w:t>
      </w:r>
      <w:bookmarkStart w:id="3" w:name="OLE_LINK4"/>
      <w:bookmarkStart w:id="4" w:name="OLE_LINK3"/>
      <w:r>
        <w:rPr/>
        <w:t>Chem. Phys. Lett., 469, 250, 2009</w:t>
      </w:r>
      <w:bookmarkEnd w:id="3"/>
      <w:bookmarkEnd w:id="4"/>
      <w:r>
        <w:rPr/>
        <w:t>.</w:t>
      </w:r>
    </w:p>
    <w:p>
      <w:pPr>
        <w:pStyle w:val="style23"/>
        <w:ind w:hanging="0" w:left="346" w:right="539"/>
      </w:pPr>
      <w:r>
        <w:rPr/>
        <w:t>Jeoung, S. C., Choo, K.Y., and Benson, S. W.: J. Phys. Chem,. 95, 7282, 1991.</w:t>
      </w:r>
    </w:p>
    <w:p>
      <w:pPr>
        <w:pStyle w:val="style0"/>
        <w:tabs>
          <w:tab w:leader="none" w:pos="346" w:val="left"/>
          <w:tab w:leader="none" w:pos="634" w:val="left"/>
          <w:tab w:leader="none" w:pos="1066" w:val="left"/>
        </w:tabs>
        <w:spacing w:line="240" w:lineRule="atLeast"/>
        <w:ind w:hanging="0" w:left="346" w:right="539"/>
        <w:jc w:val="both"/>
      </w:pPr>
      <w:r>
        <w:rPr>
          <w:spacing w:val="-3"/>
          <w:sz w:val="24"/>
          <w:lang w:val="en-US"/>
        </w:rPr>
        <w:t>Knox, J. H.: Trans. Faraday Soc., 58, 275, 1962.</w:t>
      </w:r>
    </w:p>
    <w:p>
      <w:pPr>
        <w:pStyle w:val="style23"/>
        <w:tabs>
          <w:tab w:leader="none" w:pos="706" w:val="left"/>
          <w:tab w:leader="none" w:pos="1066" w:val="left"/>
        </w:tabs>
        <w:ind w:hanging="0" w:left="346" w:right="539"/>
      </w:pPr>
      <w:r>
        <w:rPr/>
        <w:t xml:space="preserve">Niki, H., Maker, P. D., Savage, C. M., and Breitenbach, L. P., Int. J. Chem. Kinet., 12, 1001, </w:t>
        <w:tab/>
        <w:t>1980.</w:t>
      </w:r>
    </w:p>
    <w:p>
      <w:pPr>
        <w:pStyle w:val="style23"/>
        <w:ind w:hanging="0" w:left="346" w:right="539"/>
      </w:pPr>
      <w:r>
        <w:rPr/>
        <w:t>Nilsson, E. J. K., Hoff, J., Nielsen, O. J., and Johnson, M. S.: Chem. Phys. Lett., 494, 160, 2010</w:t>
      </w:r>
    </w:p>
    <w:p>
      <w:pPr>
        <w:pStyle w:val="style0"/>
        <w:tabs>
          <w:tab w:leader="none" w:pos="5026" w:val="center"/>
        </w:tabs>
        <w:spacing w:line="240" w:lineRule="atLeast"/>
        <w:ind w:hanging="0" w:left="346" w:right="539"/>
      </w:pPr>
      <w:r>
        <w:rPr>
          <w:spacing w:val="-3"/>
          <w:sz w:val="24"/>
          <w:lang w:val="en-US"/>
        </w:rPr>
        <w:t>Orlando, J. J.: Int. J. Chem. Kin., 31, 515, 1999.</w:t>
      </w:r>
    </w:p>
    <w:p>
      <w:pPr>
        <w:pStyle w:val="style0"/>
        <w:tabs>
          <w:tab w:leader="none" w:pos="706" w:val="left"/>
          <w:tab w:leader="none" w:pos="5026" w:val="center"/>
        </w:tabs>
        <w:spacing w:line="240" w:lineRule="atLeast"/>
        <w:ind w:hanging="0" w:left="346" w:right="539"/>
      </w:pPr>
      <w:r>
        <w:rPr>
          <w:spacing w:val="-3"/>
          <w:sz w:val="24"/>
          <w:lang w:val="en-US"/>
        </w:rPr>
        <w:t xml:space="preserve">Piety, C. A., Soller, R., Nicovich, J. M., McKee, M. L., and Wine P. H.: Chem. Phys. 231, 155, </w:t>
        <w:tab/>
        <w:t xml:space="preserve">1998. </w:t>
      </w:r>
    </w:p>
    <w:p>
      <w:pPr>
        <w:pStyle w:val="style0"/>
        <w:tabs>
          <w:tab w:leader="none" w:pos="706" w:val="left"/>
          <w:tab w:leader="none" w:pos="5026" w:val="center"/>
        </w:tabs>
        <w:spacing w:line="240" w:lineRule="atLeast"/>
        <w:ind w:hanging="0" w:left="346" w:right="539"/>
      </w:pPr>
      <w:r>
        <w:rPr>
          <w:spacing w:val="-3"/>
          <w:sz w:val="24"/>
          <w:lang w:val="en-US"/>
        </w:rPr>
        <w:t xml:space="preserve">Talhaoui, A., Louis, F., Meriaux, B., Devolder, P., and Sawerysyn, J. P.: J. Phys. Chem., 100, </w:t>
        <w:tab/>
        <w:t>2107, 1996.</w:t>
      </w:r>
    </w:p>
    <w:p>
      <w:pPr>
        <w:pStyle w:val="style0"/>
        <w:tabs>
          <w:tab w:leader="none" w:pos="5026" w:val="center"/>
        </w:tabs>
        <w:spacing w:line="240" w:lineRule="atLeast"/>
        <w:ind w:hanging="0" w:left="346" w:right="539"/>
      </w:pPr>
      <w:r>
        <w:rPr>
          <w:spacing w:val="-3"/>
          <w:sz w:val="24"/>
          <w:lang w:val="en-US"/>
        </w:rPr>
        <w:t>Watson, R., Machado, G., Fischer, S., and Davis, D. D.: J. Chem. Phys., 65, 2126, 1976.</w:t>
      </w:r>
    </w:p>
    <w:p>
      <w:pPr>
        <w:pStyle w:val="style0"/>
        <w:tabs>
          <w:tab w:leader="none" w:pos="0" w:val="left"/>
          <w:tab w:leader="none" w:pos="288" w:val="left"/>
          <w:tab w:leader="none" w:pos="720" w:val="left"/>
        </w:tabs>
        <w:spacing w:line="240" w:lineRule="atLeast"/>
        <w:jc w:val="both"/>
      </w:pPr>
      <w:r>
        <w:rPr>
          <w:spacing w:val="-3"/>
          <w:sz w:val="24"/>
          <w:lang w:val="en-US"/>
        </w:rPr>
      </w:r>
    </w:p>
    <w:p>
      <w:pPr>
        <w:pStyle w:val="style0"/>
        <w:tabs>
          <w:tab w:leader="none" w:pos="0" w:val="left"/>
          <w:tab w:leader="none" w:pos="288" w:val="left"/>
          <w:tab w:leader="none" w:pos="720" w:val="left"/>
        </w:tabs>
        <w:spacing w:line="240" w:lineRule="atLeast"/>
        <w:jc w:val="both"/>
      </w:pPr>
      <w:r>
        <w:rPr/>
        <w:br/>
      </w:r>
    </w:p>
    <w:p>
      <w:pPr>
        <w:pStyle w:val="style0"/>
        <w:pageBreakBefore/>
        <w:tabs>
          <w:tab w:leader="none" w:pos="0" w:val="left"/>
          <w:tab w:leader="none" w:pos="288" w:val="left"/>
          <w:tab w:leader="none" w:pos="720" w:val="left"/>
        </w:tabs>
        <w:spacing w:line="240" w:lineRule="atLeast"/>
        <w:jc w:val="center"/>
      </w:pPr>
      <w:r>
        <w:rPr/>
        <w:drawing>
          <wp:inline distB="0" distL="0" distR="0" distT="0">
            <wp:extent cx="5534025" cy="785812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6"/>
                    <a:srcRect/>
                    <a:stretch>
                      <a:fillRect/>
                    </a:stretch>
                  </pic:blipFill>
                  <pic:spPr bwMode="auto">
                    <a:xfrm>
                      <a:off x="0" y="0"/>
                      <a:ext cx="5534025" cy="7858125"/>
                    </a:xfrm>
                    <a:prstGeom prst="rect">
                      <a:avLst/>
                    </a:prstGeom>
                    <a:noFill/>
                    <a:ln w="9525">
                      <a:noFill/>
                      <a:miter lim="800000"/>
                      <a:headEnd/>
                      <a:tailEnd/>
                    </a:ln>
                  </pic:spPr>
                </pic:pic>
              </a:graphicData>
            </a:graphic>
          </wp:inline>
        </w:drawing>
      </w:r>
    </w:p>
    <w:p>
      <w:pPr>
        <w:pStyle w:val="style0"/>
      </w:pPr>
      <w:r>
        <w:rPr/>
      </w:r>
    </w:p>
    <w:sectPr>
      <w:type w:val="nextPage"/>
      <w:pgSz w:h="16838" w:w="11906"/>
      <w:pgMar w:bottom="965" w:footer="0" w:gutter="0" w:header="0" w:left="982" w:right="926" w:top="965"/>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Liberation Sans">
    <w:altName w:val="Arial"/>
    <w:charset w:val="80"/>
    <w:family w:val="swiss"/>
    <w:pitch w:val="variable"/>
  </w:font>
  <w:font w:name="Tahoma">
    <w:charset w:val="80"/>
    <w:family w:val="roman"/>
    <w:pitch w:val="variable"/>
  </w:font>
  <w:font w:name="Symbol">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Times New Roman" w:eastAsia="Times New Roman" w:hAnsi="Times New Roman"/>
      <w:color w:val="auto"/>
      <w:sz w:val="20"/>
      <w:szCs w:val="20"/>
      <w:lang w:bidi="ar-SA" w:eastAsia="ar-SA" w:val="en-GB"/>
    </w:rPr>
  </w:style>
  <w:style w:styleId="style1" w:type="paragraph">
    <w:name w:val="Heading 1"/>
    <w:basedOn w:val="style0"/>
    <w:next w:val="style1"/>
    <w:pPr>
      <w:keepNext/>
      <w:tabs>
        <w:tab w:leader="none" w:pos="4680" w:val="center"/>
      </w:tabs>
      <w:spacing w:line="240" w:lineRule="atLeast"/>
      <w:jc w:val="center"/>
    </w:pPr>
    <w:rPr>
      <w:b/>
      <w:spacing w:val="-3"/>
      <w:sz w:val="24"/>
      <w:lang w:val="en-US"/>
    </w:rPr>
  </w:style>
  <w:style w:styleId="style2" w:type="paragraph">
    <w:name w:val="Heading 2"/>
    <w:basedOn w:val="style0"/>
    <w:next w:val="style2"/>
    <w:pPr>
      <w:keepNext/>
      <w:widowControl/>
      <w:spacing w:line="264" w:lineRule="auto"/>
    </w:pPr>
    <w:rPr>
      <w:spacing w:val="-2"/>
      <w:sz w:val="24"/>
      <w:lang w:val="en-US"/>
    </w:rPr>
  </w:style>
  <w:style w:styleId="style3" w:type="paragraph">
    <w:name w:val="Heading 3"/>
    <w:basedOn w:val="style0"/>
    <w:next w:val="style3"/>
    <w:pPr>
      <w:keepNext/>
      <w:tabs>
        <w:tab w:leader="none" w:pos="0" w:val="left"/>
        <w:tab w:leader="none" w:pos="444" w:val="left"/>
        <w:tab w:leader="none" w:pos="720" w:val="left"/>
      </w:tabs>
      <w:spacing w:line="240" w:lineRule="atLeast"/>
      <w:jc w:val="both"/>
    </w:pPr>
    <w:rPr>
      <w:spacing w:val="-3"/>
      <w:sz w:val="24"/>
      <w:lang w:val="en-US"/>
    </w:rPr>
  </w:style>
  <w:style w:styleId="style4" w:type="paragraph">
    <w:name w:val="Heading 4"/>
    <w:basedOn w:val="style0"/>
    <w:next w:val="style4"/>
    <w:pPr>
      <w:keepNext/>
      <w:tabs>
        <w:tab w:leader="none" w:pos="0" w:val="left"/>
        <w:tab w:leader="none" w:pos="444" w:val="left"/>
        <w:tab w:leader="none" w:pos="720" w:val="left"/>
      </w:tabs>
      <w:spacing w:line="240" w:lineRule="atLeast"/>
      <w:jc w:val="both"/>
    </w:pPr>
    <w:rPr>
      <w:i/>
      <w:spacing w:val="-3"/>
      <w:sz w:val="24"/>
      <w:lang w:val="en-US"/>
    </w:rPr>
  </w:style>
  <w:style w:styleId="style15" w:type="character">
    <w:name w:val="Default Paragraph Font"/>
    <w:next w:val="style15"/>
    <w:rPr/>
  </w:style>
  <w:style w:styleId="style16" w:type="character">
    <w:name w:val="Absatz-Standardschriftart"/>
    <w:next w:val="style16"/>
    <w:rPr/>
  </w:style>
  <w:style w:styleId="style17" w:type="character">
    <w:name w:val="WW8Num2z0"/>
    <w:next w:val="style17"/>
    <w:rPr>
      <w:strike w:val="false"/>
      <w:dstrike w:val="false"/>
      <w:vertAlign w:val="superscript"/>
    </w:rPr>
  </w:style>
  <w:style w:styleId="style18" w:type="character">
    <w:name w:val="Internet Link"/>
    <w:basedOn w:val="style15"/>
    <w:next w:val="style18"/>
    <w:rPr>
      <w:color w:val="0000FF"/>
      <w:u w:val="single"/>
      <w:lang w:bidi="zxx-" w:eastAsia="zxx-" w:val="zxx-"/>
    </w:rPr>
  </w:style>
  <w:style w:styleId="style19" w:type="character">
    <w:name w:val="annotation reference"/>
    <w:next w:val="style19"/>
    <w:rPr>
      <w:sz w:val="16"/>
      <w:szCs w:val="16"/>
    </w:rPr>
  </w:style>
  <w:style w:styleId="style20" w:type="character">
    <w:name w:val=" Char Char1"/>
    <w:next w:val="style20"/>
    <w:rPr>
      <w:lang w:bidi="ar-SA" w:eastAsia="ar-SA" w:val="en-GB"/>
    </w:rPr>
  </w:style>
  <w:style w:styleId="style21" w:type="character">
    <w:name w:val=" Char Char"/>
    <w:next w:val="style21"/>
    <w:rPr>
      <w:b/>
      <w:bCs/>
      <w:lang w:bidi="ar-SA" w:eastAsia="ar-SA" w:val="en-GB"/>
    </w:rPr>
  </w:style>
  <w:style w:styleId="style22" w:type="paragraph">
    <w:name w:val="Heading"/>
    <w:basedOn w:val="style0"/>
    <w:next w:val="style23"/>
    <w:pPr>
      <w:keepNext/>
      <w:spacing w:after="120" w:before="240"/>
      <w:contextualSpacing w:val="false"/>
    </w:pPr>
    <w:rPr>
      <w:rFonts w:ascii="Liberation Sans" w:cs="Lohit Devanagari" w:eastAsia="DejaVu Sans" w:hAnsi="Liberation Sans"/>
      <w:sz w:val="28"/>
      <w:szCs w:val="28"/>
    </w:rPr>
  </w:style>
  <w:style w:styleId="style23" w:type="paragraph">
    <w:name w:val="Text Body"/>
    <w:basedOn w:val="style0"/>
    <w:next w:val="style23"/>
    <w:pPr>
      <w:tabs>
        <w:tab w:leader="none" w:pos="720" w:val="left"/>
      </w:tabs>
      <w:spacing w:line="240" w:lineRule="atLeast"/>
      <w:jc w:val="both"/>
    </w:pPr>
    <w:rPr>
      <w:spacing w:val="-3"/>
      <w:sz w:val="24"/>
      <w:lang w:val="en-US"/>
    </w:rPr>
  </w:style>
  <w:style w:styleId="style24" w:type="paragraph">
    <w:name w:val="List"/>
    <w:basedOn w:val="style23"/>
    <w:next w:val="style24"/>
    <w:pPr/>
    <w:rPr>
      <w:rFonts w:cs="Lohit Devanagari"/>
    </w:rPr>
  </w:style>
  <w:style w:styleId="style25" w:type="paragraph">
    <w:name w:val="Caption"/>
    <w:basedOn w:val="style0"/>
    <w:next w:val="style25"/>
    <w:pPr>
      <w:suppressLineNumbers/>
      <w:spacing w:after="120" w:before="120"/>
      <w:contextualSpacing w:val="false"/>
    </w:pPr>
    <w:rPr>
      <w:rFonts w:cs="Lohit Devanagari"/>
      <w:i/>
      <w:iCs/>
      <w:sz w:val="24"/>
      <w:szCs w:val="24"/>
    </w:rPr>
  </w:style>
  <w:style w:styleId="style26" w:type="paragraph">
    <w:name w:val="Index"/>
    <w:basedOn w:val="style0"/>
    <w:next w:val="style26"/>
    <w:pPr>
      <w:suppressLineNumbers/>
    </w:pPr>
    <w:rPr>
      <w:rFonts w:cs="Lohit Devanagari"/>
    </w:rPr>
  </w:style>
  <w:style w:styleId="style27" w:type="paragraph">
    <w:name w:val="caption"/>
    <w:basedOn w:val="style0"/>
    <w:next w:val="style27"/>
    <w:pPr>
      <w:suppressLineNumbers/>
      <w:spacing w:after="120" w:before="120"/>
      <w:contextualSpacing w:val="false"/>
    </w:pPr>
    <w:rPr>
      <w:rFonts w:cs="Lohit Devanagari"/>
      <w:i/>
      <w:iCs/>
      <w:sz w:val="24"/>
      <w:szCs w:val="24"/>
    </w:rPr>
  </w:style>
  <w:style w:styleId="style28" w:type="paragraph">
    <w:name w:val="Text Body Indent"/>
    <w:basedOn w:val="style0"/>
    <w:next w:val="style28"/>
    <w:pPr>
      <w:tabs>
        <w:tab w:leader="none" w:pos="4964" w:val="center"/>
      </w:tabs>
      <w:spacing w:line="240" w:lineRule="atLeast"/>
      <w:ind w:hanging="284" w:left="284" w:right="0"/>
    </w:pPr>
    <w:rPr>
      <w:spacing w:val="-3"/>
      <w:sz w:val="24"/>
      <w:lang w:val="en-US"/>
    </w:rPr>
  </w:style>
  <w:style w:styleId="style29" w:type="paragraph">
    <w:name w:val="Balloon Text"/>
    <w:basedOn w:val="style0"/>
    <w:next w:val="style29"/>
    <w:pPr/>
    <w:rPr>
      <w:rFonts w:ascii="Tahoma" w:hAnsi="Tahoma"/>
      <w:sz w:val="16"/>
      <w:szCs w:val="16"/>
    </w:rPr>
  </w:style>
  <w:style w:styleId="style30" w:type="paragraph">
    <w:name w:val="annotation text"/>
    <w:basedOn w:val="style0"/>
    <w:next w:val="style30"/>
    <w:pPr/>
    <w:rPr/>
  </w:style>
  <w:style w:styleId="style31" w:type="paragraph">
    <w:name w:val="annotation subject"/>
    <w:basedOn w:val="style30"/>
    <w:next w:val="style31"/>
    <w:pPr/>
    <w:rPr>
      <w:b/>
      <w:bCs/>
    </w:rPr>
  </w:style>
  <w:style w:styleId="style32" w:type="paragraph">
    <w:name w:val="Table Contents"/>
    <w:basedOn w:val="style0"/>
    <w:next w:val="style32"/>
    <w:pPr>
      <w:suppressLineNumbers/>
    </w:pPr>
    <w:rPr/>
  </w:style>
  <w:style w:styleId="style33" w:type="paragraph">
    <w:name w:val="Table Heading"/>
    <w:basedOn w:val="style32"/>
    <w:next w:val="style33"/>
    <w:pPr>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upac.pole-ether.fr/" TargetMode="External"/><Relationship Id="rId3" Type="http://schemas.openxmlformats.org/officeDocument/2006/relationships/hyperlink" Target="http://iupac.pole-ether.fr/" TargetMode="External"/><Relationship Id="rId4" Type="http://schemas.openxmlformats.org/officeDocument/2006/relationships/hyperlink" Target="http://iupac.pole-ether.fr/" TargetMode="External"/><Relationship Id="rId5" Type="http://schemas.openxmlformats.org/officeDocument/2006/relationships/hyperlink" Target="http://iupac.pole-ether.fr/" TargetMode="External"/><Relationship Id="rId6" Type="http://schemas.openxmlformats.org/officeDocument/2006/relationships/image" Target="media/image5.wmf"/><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2014-06-10T21:53:00.00Z</dcterms:created>
  <dc:creator>idreger</dc:creator>
  <cp:lastModifiedBy>Wallington, Timothy (T.J.)</cp:lastModifiedBy>
  <cp:lastPrinted>2004-07-06T02:09:00.00Z</cp:lastPrinted>
  <dcterms:modified xsi:type="dcterms:W3CDTF">2014-06-10T21:53:00.00Z</dcterms:modified>
  <cp:revision>2</cp:revision>
  <dc:title>IUPAC Task Group on Atmospheric Chemical Kinetic Data Evaluation – Data Sheet IV.A2.97 oClOx23</dc:title>
</cp:coreProperties>
</file>