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0"/>
        <w:spacing w:after="0" w:before="0"/>
        <w:ind w:hanging="0" w:left="147" w:right="0"/>
        <w:contextualSpacing w:val="false"/>
      </w:pPr>
      <w:bookmarkStart w:id="0" w:name="_GoBack"/>
      <w:bookmarkEnd w:id="0"/>
      <w:r>
        <w:rPr>
          <w:rFonts w:ascii="Times New Roman" w:hAnsi="Times New Roman"/>
          <w:b/>
          <w:bCs/>
          <w:sz w:val="24"/>
          <w:szCs w:val="24"/>
        </w:rPr>
        <w:t>Task Group on Atmospheric Chemical Kinetic Data Evaluation – Data Sheet IV.A2.89</w:t>
      </w:r>
    </w:p>
    <w:p>
      <w:pPr>
        <w:pStyle w:val="style0"/>
        <w:ind w:hanging="0" w:left="177" w:right="618"/>
        <w:jc w:val="both"/>
      </w:pPr>
      <w:r>
        <w:rPr>
          <w:rFonts w:ascii="Times New Roman" w:hAnsi="Times New Roman"/>
          <w:sz w:val="24"/>
          <w:szCs w:val="24"/>
        </w:rPr>
        <w:t xml:space="preserve">Website: </w:t>
      </w:r>
      <w:hyperlink r:id="rId2">
        <w:r>
          <w:rPr>
            <w:rStyle w:val="style18"/>
            <w:rStyle w:val="style18"/>
            <w:rFonts w:ascii="Times New Roman" w:hAnsi="Times New Roman"/>
            <w:sz w:val="24"/>
            <w:szCs w:val="24"/>
          </w:rPr>
          <w:t>http://iupac.pole-ether.fr</w:t>
        </w:r>
      </w:hyperlink>
      <w:r>
        <w:rPr>
          <w:rFonts w:ascii="Times New Roman" w:hAnsi="Times New Roman"/>
          <w:sz w:val="24"/>
          <w:szCs w:val="24"/>
        </w:rPr>
        <w:t xml:space="preserve">. See website for latest evaluated data. Data sheets can be downloaded for personal use only and must not be retransmitted or disseminated either electronically or in hardcopy without explicit written permission. The citation for this data sheet is: </w:t>
      </w:r>
      <w:r>
        <w:rPr>
          <w:rFonts w:ascii="Times New Roman" w:hAnsi="Times New Roman"/>
          <w:spacing w:val="-3"/>
          <w:sz w:val="24"/>
          <w:szCs w:val="24"/>
        </w:rPr>
        <w:t xml:space="preserve">Atkinson, R., Baulch, D. L., Cox, R. A., Crowley, J. N., Hampson, R. F., Hynes, R. G., Jenkin, M. E., Rossi, M. J., Troe, J., and Wallington, T. J.: Atmos. Chem. Phys., 8, 4141, 2008; IUPAC Task Group on Atmospheric Chemical Kinetic Data Evaluation, </w:t>
      </w:r>
      <w:hyperlink r:id="rId3">
        <w:r>
          <w:rPr>
            <w:rStyle w:val="style18"/>
            <w:rStyle w:val="style18"/>
            <w:rFonts w:ascii="Times New Roman" w:hAnsi="Times New Roman"/>
            <w:sz w:val="24"/>
            <w:szCs w:val="24"/>
          </w:rPr>
          <w:t>http://iupac.pole-ether.fr</w:t>
        </w:r>
      </w:hyperlink>
      <w:r>
        <w:rPr>
          <w:rFonts w:ascii="Times New Roman" w:hAnsi="Times New Roman"/>
          <w:sz w:val="24"/>
          <w:szCs w:val="24"/>
        </w:rPr>
        <w:t xml:space="preserve">. </w:t>
      </w:r>
    </w:p>
    <w:p>
      <w:pPr>
        <w:pStyle w:val="style0"/>
        <w:ind w:hanging="0" w:left="177" w:right="525"/>
        <w:jc w:val="both"/>
      </w:pPr>
      <w:r>
        <w:rPr>
          <w:rFonts w:ascii="Times New Roman" w:hAnsi="Times New Roman"/>
          <w:sz w:val="24"/>
          <w:szCs w:val="24"/>
        </w:rPr>
        <w:t>This data sheet last evaluated: June 2014; last change in preferred values: November 2003.</w:t>
      </w:r>
    </w:p>
    <w:p>
      <w:pPr>
        <w:pStyle w:val="style0"/>
        <w:jc w:val="center"/>
      </w:pPr>
      <w:bookmarkStart w:id="1" w:name="_GoBack1"/>
      <w:bookmarkStart w:id="2" w:name="_GoBack1"/>
      <w:bookmarkEnd w:id="2"/>
      <w:r>
        <w:rPr/>
        <w:pict>
          <v:line from="-49.65pt,13.15pt" id="shape_0" style="position:absolute" to="545.45pt,13.15pt">
            <v:stroke color="black" endcap="flat" joinstyle="miter" weight="9360"/>
            <v:fill detectmouseclick="t"/>
          </v:line>
        </w:pict>
      </w:r>
    </w:p>
    <w:p>
      <w:pPr>
        <w:pStyle w:val="style0"/>
        <w:tabs>
          <w:tab w:leader="none" w:pos="4680" w:val="center"/>
        </w:tabs>
        <w:jc w:val="center"/>
      </w:pPr>
      <w:r>
        <w:rPr/>
      </w:r>
    </w:p>
    <w:p>
      <w:pPr>
        <w:pStyle w:val="style0"/>
        <w:tabs>
          <w:tab w:leader="none" w:pos="4680" w:val="center"/>
        </w:tabs>
        <w:jc w:val="center"/>
      </w:pPr>
      <w:r>
        <w:rPr>
          <w:b/>
        </w:rPr>
        <w:t>Cl + CH</w:t>
      </w:r>
      <w:r>
        <w:rPr>
          <w:b/>
          <w:vertAlign w:val="subscript"/>
        </w:rPr>
        <w:t>3</w:t>
      </w:r>
      <w:r>
        <w:rPr>
          <w:b/>
        </w:rPr>
        <w:t xml:space="preserve">OCl </w:t>
      </w:r>
      <w:r>
        <w:rPr>
          <w:rFonts w:ascii="Symbol" w:hAnsi="Symbol"/>
          <w:b/>
        </w:rPr>
        <w:t></w:t>
      </w:r>
      <w:r>
        <w:rPr>
          <w:b/>
        </w:rPr>
        <w:t xml:space="preserve"> Cl</w:t>
      </w:r>
      <w:r>
        <w:rPr>
          <w:b/>
          <w:vertAlign w:val="subscript"/>
        </w:rPr>
        <w:t>2</w:t>
      </w:r>
      <w:r>
        <w:rPr>
          <w:b/>
        </w:rPr>
        <w:t xml:space="preserve"> + CH</w:t>
      </w:r>
      <w:r>
        <w:rPr>
          <w:b/>
          <w:vertAlign w:val="subscript"/>
        </w:rPr>
        <w:t>3</w:t>
      </w:r>
      <w:r>
        <w:rPr>
          <w:b/>
        </w:rPr>
        <w:t>O             (1)</w:t>
      </w:r>
    </w:p>
    <w:p>
      <w:pPr>
        <w:pStyle w:val="style0"/>
        <w:tabs>
          <w:tab w:leader="none" w:pos="4680" w:val="center"/>
        </w:tabs>
        <w:jc w:val="center"/>
      </w:pPr>
      <w:r>
        <w:rPr>
          <w:b/>
        </w:rPr>
        <w:t xml:space="preserve">                        </w:t>
      </w:r>
      <w:r>
        <w:rPr>
          <w:rFonts w:ascii="Symbol" w:hAnsi="Symbol"/>
          <w:b/>
        </w:rPr>
        <w:t></w:t>
      </w:r>
      <w:r>
        <w:rPr>
          <w:b/>
        </w:rPr>
        <w:t xml:space="preserve"> </w:t>
      </w:r>
      <w:r>
        <w:rPr>
          <w:b/>
        </w:rPr>
        <w:t>HCl + CH</w:t>
      </w:r>
      <w:r>
        <w:rPr>
          <w:b/>
          <w:vertAlign w:val="subscript"/>
        </w:rPr>
        <w:t>2</w:t>
      </w:r>
      <w:r>
        <w:rPr>
          <w:b/>
        </w:rPr>
        <w:t>OCl       (2)</w:t>
      </w:r>
    </w:p>
    <w:p>
      <w:pPr>
        <w:pStyle w:val="style0"/>
        <w:tabs>
          <w:tab w:leader="none" w:pos="-1440" w:val="left"/>
          <w:tab w:leader="none" w:pos="-720" w:val="left"/>
          <w:tab w:leader="none" w:pos="288" w:val="left"/>
        </w:tabs>
      </w:pPr>
      <w:r>
        <w:rPr/>
      </w:r>
    </w:p>
    <w:p>
      <w:pPr>
        <w:pStyle w:val="style0"/>
        <w:tabs>
          <w:tab w:leader="none" w:pos="524" w:val="left"/>
          <w:tab w:leader="none" w:pos="1244" w:val="left"/>
          <w:tab w:leader="none" w:pos="2252" w:val="left"/>
        </w:tabs>
        <w:ind w:hanging="0" w:left="982" w:right="0"/>
      </w:pPr>
      <w:r>
        <w:rPr>
          <w:rFonts w:ascii="Symbol" w:hAnsi="Symbol"/>
        </w:rPr>
        <w:t></w:t>
      </w:r>
      <w:r>
        <w:rPr>
          <w:i/>
        </w:rPr>
        <w:t>H</w:t>
      </w:r>
      <w:r>
        <w:rPr/>
        <w:t>°(1) = -39.7 kJ·mol</w:t>
      </w:r>
      <w:r>
        <w:rPr>
          <w:vertAlign w:val="superscript"/>
        </w:rPr>
        <w:t>-1</w:t>
      </w:r>
    </w:p>
    <w:p>
      <w:pPr>
        <w:pStyle w:val="style0"/>
        <w:tabs>
          <w:tab w:leader="none" w:pos="524" w:val="left"/>
          <w:tab w:leader="none" w:pos="1244" w:val="left"/>
          <w:tab w:leader="none" w:pos="2252" w:val="left"/>
        </w:tabs>
        <w:ind w:hanging="0" w:left="982" w:right="0"/>
      </w:pPr>
      <w:r>
        <w:rPr>
          <w:rFonts w:ascii="Symbol" w:hAnsi="Symbol"/>
        </w:rPr>
        <w:t></w:t>
      </w:r>
      <w:r>
        <w:rPr>
          <w:i/>
          <w:lang w:val="it-IT"/>
        </w:rPr>
        <w:t>H</w:t>
      </w:r>
      <w:r>
        <w:rPr/>
        <w:t>°(2)</w:t>
      </w:r>
      <w:r>
        <w:rPr>
          <w:lang w:val="it-IT"/>
        </w:rPr>
        <w:t xml:space="preserve"> = -14.2 kJ·mol</w:t>
      </w:r>
      <w:r>
        <w:rPr>
          <w:vertAlign w:val="superscript"/>
          <w:lang w:val="it-IT"/>
        </w:rPr>
        <w:t>-1</w:t>
      </w:r>
    </w:p>
    <w:p>
      <w:pPr>
        <w:pStyle w:val="style0"/>
        <w:jc w:val="both"/>
      </w:pPr>
      <w:r>
        <w:rPr/>
      </w:r>
    </w:p>
    <w:p>
      <w:pPr>
        <w:pStyle w:val="style0"/>
        <w:tabs>
          <w:tab w:leader="none" w:pos="4680" w:val="center"/>
        </w:tabs>
        <w:jc w:val="center"/>
      </w:pPr>
      <w:r>
        <w:rPr>
          <w:b/>
        </w:rPr>
        <w:t>Rate coefficient data (</w:t>
      </w:r>
      <w:r>
        <w:rPr>
          <w:b/>
          <w:i/>
        </w:rPr>
        <w:t>k</w:t>
      </w:r>
      <w:r>
        <w:rPr>
          <w:b/>
        </w:rPr>
        <w:t xml:space="preserve"> = </w:t>
      </w:r>
      <w:r>
        <w:rPr>
          <w:b/>
          <w:i/>
        </w:rPr>
        <w:t>k</w:t>
      </w:r>
      <w:r>
        <w:rPr>
          <w:b/>
          <w:vertAlign w:val="subscript"/>
        </w:rPr>
        <w:t>1</w:t>
      </w:r>
      <w:r>
        <w:rPr>
          <w:b/>
        </w:rPr>
        <w:t xml:space="preserve"> + </w:t>
      </w:r>
      <w:r>
        <w:rPr>
          <w:b/>
          <w:i/>
        </w:rPr>
        <w:t>k</w:t>
      </w:r>
      <w:r>
        <w:rPr>
          <w:b/>
          <w:vertAlign w:val="subscript"/>
        </w:rPr>
        <w:t>2</w:t>
      </w:r>
      <w:r>
        <w:rPr>
          <w:b/>
        </w:rPr>
        <w:t>)</w:t>
      </w:r>
    </w:p>
    <w:p>
      <w:pPr>
        <w:pStyle w:val="style0"/>
        <w:tabs>
          <w:tab w:leader="none" w:pos="-1440" w:val="left"/>
          <w:tab w:leader="none" w:pos="-720" w:val="left"/>
          <w:tab w:leader="none" w:pos="547" w:val="left"/>
        </w:tabs>
      </w:pPr>
      <w:r>
        <w:rPr/>
      </w:r>
    </w:p>
    <w:tbl>
      <w:tblPr>
        <w:jc w:val="left"/>
        <w:tblInd w:type="dxa" w:w="1090"/>
        <w:tblBorders>
          <w:top w:color="000001" w:space="0" w:sz="2" w:val="double"/>
          <w:left w:val="none"/>
          <w:bottom w:color="000001" w:space="0" w:sz="4" w:val="single"/>
          <w:insideH w:color="000001" w:space="0" w:sz="4" w:val="single"/>
          <w:right w:val="none"/>
          <w:insideV w:val="none"/>
        </w:tblBorders>
        <w:tblCellMar>
          <w:top w:type="dxa" w:w="0"/>
          <w:left w:type="dxa" w:w="108"/>
          <w:bottom w:type="dxa" w:w="0"/>
          <w:right w:type="dxa" w:w="108"/>
        </w:tblCellMar>
      </w:tblPr>
      <w:tblGrid>
        <w:gridCol w:w="2571"/>
        <w:gridCol w:w="982"/>
        <w:gridCol w:w="2213"/>
        <w:gridCol w:w="2250"/>
      </w:tblGrid>
      <w:tr>
        <w:trPr>
          <w:cantSplit w:val="false"/>
        </w:trPr>
        <w:tc>
          <w:tcPr>
            <w:tcW w:type="dxa" w:w="2571"/>
            <w:tcBorders>
              <w:top w:color="000001" w:space="0" w:sz="2" w:val="double"/>
              <w:left w:val="none"/>
              <w:bottom w:color="000001" w:space="0" w:sz="4" w:val="single"/>
              <w:right w:val="none"/>
            </w:tcBorders>
            <w:shd w:fill="FFFFFF" w:val="clear"/>
          </w:tcPr>
          <w:p>
            <w:pPr>
              <w:pStyle w:val="style0"/>
              <w:tabs>
                <w:tab w:leader="none" w:pos="-1440" w:val="left"/>
                <w:tab w:leader="none" w:pos="-720" w:val="left"/>
                <w:tab w:leader="none" w:pos="547" w:val="left"/>
              </w:tabs>
              <w:spacing w:after="120" w:before="120"/>
              <w:contextualSpacing w:val="false"/>
              <w:jc w:val="both"/>
            </w:pPr>
            <w:r>
              <w:rPr>
                <w:sz w:val="20"/>
              </w:rPr>
              <w:t>k/cm</w:t>
            </w:r>
            <w:r>
              <w:rPr>
                <w:sz w:val="20"/>
                <w:vertAlign w:val="superscript"/>
              </w:rPr>
              <w:t>3</w:t>
            </w:r>
            <w:r>
              <w:rPr>
                <w:sz w:val="20"/>
              </w:rPr>
              <w:t xml:space="preserve"> molecule</w:t>
            </w:r>
            <w:r>
              <w:rPr>
                <w:sz w:val="20"/>
                <w:vertAlign w:val="superscript"/>
              </w:rPr>
              <w:t>-1</w:t>
            </w:r>
            <w:r>
              <w:rPr>
                <w:sz w:val="20"/>
              </w:rPr>
              <w:t xml:space="preserve"> s</w:t>
            </w:r>
            <w:r>
              <w:rPr>
                <w:sz w:val="20"/>
                <w:vertAlign w:val="superscript"/>
              </w:rPr>
              <w:t>-1</w:t>
            </w:r>
          </w:p>
        </w:tc>
        <w:tc>
          <w:tcPr>
            <w:tcW w:type="dxa" w:w="982"/>
            <w:tcBorders>
              <w:top w:color="000001" w:space="0" w:sz="2" w:val="double"/>
              <w:left w:val="none"/>
              <w:bottom w:color="000001" w:space="0" w:sz="4" w:val="single"/>
              <w:right w:val="none"/>
            </w:tcBorders>
            <w:shd w:fill="FFFFFF" w:val="clear"/>
          </w:tcPr>
          <w:p>
            <w:pPr>
              <w:pStyle w:val="style0"/>
              <w:tabs>
                <w:tab w:leader="none" w:pos="-1440" w:val="left"/>
                <w:tab w:leader="none" w:pos="-720" w:val="left"/>
                <w:tab w:leader="none" w:pos="547" w:val="left"/>
              </w:tabs>
              <w:spacing w:after="120" w:before="120"/>
              <w:contextualSpacing w:val="false"/>
              <w:jc w:val="both"/>
            </w:pPr>
            <w:r>
              <w:rPr>
                <w:sz w:val="20"/>
              </w:rPr>
              <w:t>Temp./K</w:t>
            </w:r>
          </w:p>
        </w:tc>
        <w:tc>
          <w:tcPr>
            <w:tcW w:type="dxa" w:w="2213"/>
            <w:tcBorders>
              <w:top w:color="000001" w:space="0" w:sz="2" w:val="double"/>
              <w:left w:val="none"/>
              <w:bottom w:color="000001" w:space="0" w:sz="4" w:val="single"/>
              <w:right w:val="none"/>
            </w:tcBorders>
            <w:shd w:fill="FFFFFF" w:val="clear"/>
          </w:tcPr>
          <w:p>
            <w:pPr>
              <w:pStyle w:val="style0"/>
              <w:tabs>
                <w:tab w:leader="none" w:pos="-1440" w:val="left"/>
                <w:tab w:leader="none" w:pos="-720" w:val="left"/>
                <w:tab w:leader="none" w:pos="547" w:val="left"/>
              </w:tabs>
              <w:spacing w:after="120" w:before="120"/>
              <w:contextualSpacing w:val="false"/>
              <w:jc w:val="both"/>
            </w:pPr>
            <w:r>
              <w:rPr>
                <w:sz w:val="20"/>
              </w:rPr>
              <w:t>Reference</w:t>
            </w:r>
          </w:p>
        </w:tc>
        <w:tc>
          <w:tcPr>
            <w:tcW w:type="dxa" w:w="2250"/>
            <w:tcBorders>
              <w:top w:color="000001" w:space="0" w:sz="2" w:val="double"/>
              <w:left w:val="none"/>
              <w:bottom w:color="000001" w:space="0" w:sz="4" w:val="single"/>
              <w:right w:val="none"/>
            </w:tcBorders>
            <w:shd w:fill="FFFFFF" w:val="clear"/>
          </w:tcPr>
          <w:p>
            <w:pPr>
              <w:pStyle w:val="style0"/>
              <w:tabs>
                <w:tab w:leader="none" w:pos="-1440" w:val="left"/>
                <w:tab w:leader="none" w:pos="-720" w:val="left"/>
                <w:tab w:leader="none" w:pos="547" w:val="left"/>
              </w:tabs>
              <w:spacing w:after="120" w:before="120"/>
              <w:contextualSpacing w:val="false"/>
              <w:jc w:val="both"/>
            </w:pPr>
            <w:r>
              <w:rPr>
                <w:sz w:val="20"/>
              </w:rPr>
              <w:t>Technique/ Comments</w:t>
            </w:r>
          </w:p>
        </w:tc>
      </w:tr>
      <w:tr>
        <w:trPr>
          <w:cantSplit w:val="false"/>
        </w:trPr>
        <w:tc>
          <w:tcPr>
            <w:tcW w:type="dxa" w:w="2571"/>
            <w:tcBorders>
              <w:top w:color="000001" w:space="0" w:sz="4" w:val="single"/>
              <w:left w:val="none"/>
              <w:bottom w:val="none"/>
              <w:right w:val="none"/>
            </w:tcBorders>
            <w:shd w:fill="FFFFFF" w:val="clear"/>
          </w:tcPr>
          <w:p>
            <w:pPr>
              <w:pStyle w:val="style0"/>
              <w:tabs>
                <w:tab w:leader="none" w:pos="-1440" w:val="left"/>
                <w:tab w:leader="none" w:pos="-720" w:val="left"/>
                <w:tab w:leader="none" w:pos="547" w:val="left"/>
              </w:tabs>
              <w:spacing w:after="0" w:before="120"/>
              <w:contextualSpacing w:val="false"/>
            </w:pPr>
            <w:r>
              <w:rPr>
                <w:i/>
                <w:sz w:val="20"/>
              </w:rPr>
              <w:t>Absolute Rate Coefficients</w:t>
            </w:r>
          </w:p>
        </w:tc>
        <w:tc>
          <w:tcPr>
            <w:tcW w:type="dxa" w:w="982"/>
            <w:tcBorders>
              <w:top w:color="000001" w:space="0" w:sz="4" w:val="single"/>
              <w:left w:val="none"/>
              <w:bottom w:val="none"/>
              <w:right w:val="none"/>
            </w:tcBorders>
            <w:shd w:fill="FFFFFF" w:val="clear"/>
          </w:tcPr>
          <w:p>
            <w:pPr>
              <w:pStyle w:val="style0"/>
              <w:tabs>
                <w:tab w:leader="none" w:pos="-1440" w:val="left"/>
                <w:tab w:leader="none" w:pos="-720" w:val="left"/>
                <w:tab w:leader="none" w:pos="547" w:val="left"/>
              </w:tabs>
              <w:spacing w:after="0" w:before="120"/>
              <w:contextualSpacing w:val="false"/>
              <w:jc w:val="both"/>
            </w:pPr>
            <w:r>
              <w:rPr/>
            </w:r>
          </w:p>
        </w:tc>
        <w:tc>
          <w:tcPr>
            <w:tcW w:type="dxa" w:w="2213"/>
            <w:tcBorders>
              <w:top w:color="000001" w:space="0" w:sz="4" w:val="single"/>
              <w:left w:val="none"/>
              <w:bottom w:val="none"/>
              <w:right w:val="none"/>
            </w:tcBorders>
            <w:shd w:fill="FFFFFF" w:val="clear"/>
          </w:tcPr>
          <w:p>
            <w:pPr>
              <w:pStyle w:val="style0"/>
              <w:tabs>
                <w:tab w:leader="none" w:pos="-1440" w:val="left"/>
                <w:tab w:leader="none" w:pos="-720" w:val="left"/>
                <w:tab w:leader="none" w:pos="547" w:val="left"/>
              </w:tabs>
              <w:spacing w:after="0" w:before="120"/>
              <w:contextualSpacing w:val="false"/>
              <w:jc w:val="both"/>
            </w:pPr>
            <w:r>
              <w:rPr/>
            </w:r>
          </w:p>
        </w:tc>
        <w:tc>
          <w:tcPr>
            <w:tcW w:type="dxa" w:w="2250"/>
            <w:tcBorders>
              <w:top w:color="000001" w:space="0" w:sz="4" w:val="single"/>
              <w:left w:val="none"/>
              <w:bottom w:val="none"/>
              <w:right w:val="none"/>
            </w:tcBorders>
            <w:shd w:fill="FFFFFF" w:val="clear"/>
          </w:tcPr>
          <w:p>
            <w:pPr>
              <w:pStyle w:val="style0"/>
              <w:tabs>
                <w:tab w:leader="none" w:pos="-1440" w:val="left"/>
                <w:tab w:leader="none" w:pos="-720" w:val="left"/>
                <w:tab w:leader="none" w:pos="547" w:val="left"/>
              </w:tabs>
              <w:spacing w:after="0" w:before="120"/>
              <w:contextualSpacing w:val="false"/>
              <w:jc w:val="both"/>
            </w:pPr>
            <w:r>
              <w:rPr/>
            </w:r>
          </w:p>
        </w:tc>
      </w:tr>
      <w:tr>
        <w:trPr>
          <w:cantSplit w:val="false"/>
        </w:trPr>
        <w:tc>
          <w:tcPr>
            <w:tcW w:type="dxa" w:w="2571"/>
            <w:tcBorders>
              <w:top w:val="none"/>
              <w:left w:val="none"/>
              <w:bottom w:val="none"/>
              <w:right w:val="none"/>
            </w:tcBorders>
            <w:shd w:fill="FFFFFF" w:val="clear"/>
          </w:tcPr>
          <w:p>
            <w:pPr>
              <w:pStyle w:val="style0"/>
              <w:spacing w:line="264" w:lineRule="auto"/>
            </w:pPr>
            <w:r>
              <w:rPr>
                <w:sz w:val="20"/>
              </w:rPr>
              <w:t xml:space="preserve">(6.0 </w:t>
            </w:r>
            <w:r>
              <w:rPr>
                <w:rFonts w:ascii="Symbol" w:hAnsi="Symbol"/>
                <w:sz w:val="20"/>
              </w:rPr>
              <w:t></w:t>
            </w:r>
            <w:r>
              <w:rPr>
                <w:sz w:val="20"/>
              </w:rPr>
              <w:t xml:space="preserve"> 0.2) x 10</w:t>
            </w:r>
            <w:r>
              <w:rPr>
                <w:sz w:val="20"/>
                <w:vertAlign w:val="superscript"/>
              </w:rPr>
              <w:t>-11</w:t>
            </w:r>
          </w:p>
        </w:tc>
        <w:tc>
          <w:tcPr>
            <w:tcW w:type="dxa" w:w="982"/>
            <w:tcBorders>
              <w:top w:val="none"/>
              <w:left w:val="none"/>
              <w:bottom w:val="none"/>
              <w:right w:val="none"/>
            </w:tcBorders>
            <w:shd w:fill="FFFFFF" w:val="clear"/>
          </w:tcPr>
          <w:p>
            <w:pPr>
              <w:pStyle w:val="style0"/>
              <w:spacing w:line="264" w:lineRule="auto"/>
            </w:pPr>
            <w:r>
              <w:rPr>
                <w:sz w:val="20"/>
              </w:rPr>
              <w:t>300</w:t>
            </w:r>
          </w:p>
        </w:tc>
        <w:tc>
          <w:tcPr>
            <w:tcW w:type="dxa" w:w="2213"/>
            <w:tcBorders>
              <w:top w:val="none"/>
              <w:left w:val="none"/>
              <w:bottom w:val="none"/>
              <w:right w:val="none"/>
            </w:tcBorders>
            <w:shd w:fill="FFFFFF" w:val="clear"/>
          </w:tcPr>
          <w:p>
            <w:pPr>
              <w:pStyle w:val="style0"/>
              <w:spacing w:line="264" w:lineRule="auto"/>
            </w:pPr>
            <w:r>
              <w:rPr>
                <w:sz w:val="20"/>
              </w:rPr>
              <w:t>Kukui et al., 1997</w:t>
            </w:r>
          </w:p>
        </w:tc>
        <w:tc>
          <w:tcPr>
            <w:tcW w:type="dxa" w:w="2250"/>
            <w:tcBorders>
              <w:top w:val="none"/>
              <w:left w:val="none"/>
              <w:bottom w:val="none"/>
              <w:right w:val="none"/>
            </w:tcBorders>
            <w:shd w:fill="FFFFFF" w:val="clear"/>
          </w:tcPr>
          <w:p>
            <w:pPr>
              <w:pStyle w:val="style0"/>
              <w:spacing w:line="264" w:lineRule="auto"/>
            </w:pPr>
            <w:r>
              <w:rPr>
                <w:sz w:val="20"/>
              </w:rPr>
              <w:t>DF-MS/LIF (a)</w:t>
            </w:r>
          </w:p>
        </w:tc>
      </w:tr>
      <w:tr>
        <w:trPr>
          <w:cantSplit w:val="false"/>
        </w:trPr>
        <w:tc>
          <w:tcPr>
            <w:tcW w:type="dxa" w:w="2571"/>
            <w:tcBorders>
              <w:top w:val="none"/>
              <w:left w:val="none"/>
              <w:bottom w:val="none"/>
              <w:right w:val="none"/>
            </w:tcBorders>
            <w:shd w:fill="FFFFFF" w:val="clear"/>
          </w:tcPr>
          <w:p>
            <w:pPr>
              <w:pStyle w:val="style0"/>
              <w:spacing w:after="0" w:before="120" w:line="264" w:lineRule="auto"/>
              <w:contextualSpacing w:val="false"/>
            </w:pPr>
            <w:r>
              <w:rPr>
                <w:i/>
                <w:sz w:val="20"/>
              </w:rPr>
              <w:t>Relative Rate Coefficients</w:t>
            </w:r>
          </w:p>
        </w:tc>
        <w:tc>
          <w:tcPr>
            <w:tcW w:type="dxa" w:w="982"/>
            <w:tcBorders>
              <w:top w:val="none"/>
              <w:left w:val="none"/>
              <w:bottom w:val="none"/>
              <w:right w:val="none"/>
            </w:tcBorders>
            <w:shd w:fill="FFFFFF" w:val="clear"/>
          </w:tcPr>
          <w:p>
            <w:pPr>
              <w:pStyle w:val="style0"/>
              <w:spacing w:after="0" w:before="120" w:line="264" w:lineRule="auto"/>
              <w:contextualSpacing w:val="false"/>
            </w:pPr>
            <w:r>
              <w:rPr/>
            </w:r>
          </w:p>
        </w:tc>
        <w:tc>
          <w:tcPr>
            <w:tcW w:type="dxa" w:w="2213"/>
            <w:tcBorders>
              <w:top w:val="none"/>
              <w:left w:val="none"/>
              <w:bottom w:val="none"/>
              <w:right w:val="none"/>
            </w:tcBorders>
            <w:shd w:fill="FFFFFF" w:val="clear"/>
          </w:tcPr>
          <w:p>
            <w:pPr>
              <w:pStyle w:val="style0"/>
              <w:spacing w:after="0" w:before="120" w:line="264" w:lineRule="auto"/>
              <w:contextualSpacing w:val="false"/>
            </w:pPr>
            <w:r>
              <w:rPr/>
            </w:r>
          </w:p>
        </w:tc>
        <w:tc>
          <w:tcPr>
            <w:tcW w:type="dxa" w:w="2250"/>
            <w:tcBorders>
              <w:top w:val="none"/>
              <w:left w:val="none"/>
              <w:bottom w:val="none"/>
              <w:right w:val="none"/>
            </w:tcBorders>
            <w:shd w:fill="FFFFFF" w:val="clear"/>
          </w:tcPr>
          <w:p>
            <w:pPr>
              <w:pStyle w:val="style0"/>
              <w:spacing w:after="0" w:before="120" w:line="264" w:lineRule="auto"/>
              <w:contextualSpacing w:val="false"/>
            </w:pPr>
            <w:r>
              <w:rPr/>
            </w:r>
          </w:p>
        </w:tc>
      </w:tr>
      <w:tr>
        <w:trPr>
          <w:cantSplit w:val="false"/>
        </w:trPr>
        <w:tc>
          <w:tcPr>
            <w:tcW w:type="dxa" w:w="2571"/>
            <w:tcBorders>
              <w:top w:val="none"/>
              <w:left w:val="none"/>
              <w:bottom w:val="none"/>
              <w:right w:val="none"/>
            </w:tcBorders>
            <w:shd w:fill="FFFFFF" w:val="clear"/>
          </w:tcPr>
          <w:p>
            <w:pPr>
              <w:pStyle w:val="style0"/>
              <w:spacing w:line="264" w:lineRule="auto"/>
            </w:pPr>
            <w:r>
              <w:rPr>
                <w:sz w:val="20"/>
              </w:rPr>
              <w:t xml:space="preserve">(6.3 </w:t>
            </w:r>
            <w:r>
              <w:rPr>
                <w:rFonts w:ascii="Symbol" w:hAnsi="Symbol"/>
                <w:sz w:val="20"/>
              </w:rPr>
              <w:t></w:t>
            </w:r>
            <w:r>
              <w:rPr>
                <w:sz w:val="20"/>
              </w:rPr>
              <w:t xml:space="preserve"> 0.1) x 10</w:t>
            </w:r>
            <w:r>
              <w:rPr>
                <w:sz w:val="20"/>
                <w:vertAlign w:val="superscript"/>
              </w:rPr>
              <w:t>-11</w:t>
            </w:r>
          </w:p>
        </w:tc>
        <w:tc>
          <w:tcPr>
            <w:tcW w:type="dxa" w:w="982"/>
            <w:tcBorders>
              <w:top w:val="none"/>
              <w:left w:val="none"/>
              <w:bottom w:val="none"/>
              <w:right w:val="none"/>
            </w:tcBorders>
            <w:shd w:fill="FFFFFF" w:val="clear"/>
          </w:tcPr>
          <w:p>
            <w:pPr>
              <w:pStyle w:val="style0"/>
              <w:spacing w:line="264" w:lineRule="auto"/>
            </w:pPr>
            <w:r>
              <w:rPr>
                <w:sz w:val="20"/>
              </w:rPr>
              <w:t>295</w:t>
            </w:r>
          </w:p>
        </w:tc>
        <w:tc>
          <w:tcPr>
            <w:tcW w:type="dxa" w:w="2213"/>
            <w:tcBorders>
              <w:top w:val="none"/>
              <w:left w:val="none"/>
              <w:bottom w:val="none"/>
              <w:right w:val="none"/>
            </w:tcBorders>
            <w:shd w:fill="FFFFFF" w:val="clear"/>
          </w:tcPr>
          <w:p>
            <w:pPr>
              <w:pStyle w:val="style0"/>
              <w:spacing w:line="264" w:lineRule="auto"/>
            </w:pPr>
            <w:r>
              <w:rPr>
                <w:sz w:val="20"/>
              </w:rPr>
              <w:t xml:space="preserve">Carl et al., 1996 </w:t>
            </w:r>
          </w:p>
        </w:tc>
        <w:tc>
          <w:tcPr>
            <w:tcW w:type="dxa" w:w="2250"/>
            <w:tcBorders>
              <w:top w:val="none"/>
              <w:left w:val="none"/>
              <w:bottom w:val="none"/>
              <w:right w:val="none"/>
            </w:tcBorders>
            <w:shd w:fill="FFFFFF" w:val="clear"/>
          </w:tcPr>
          <w:p>
            <w:pPr>
              <w:pStyle w:val="style0"/>
              <w:spacing w:line="264" w:lineRule="auto"/>
            </w:pPr>
            <w:r>
              <w:rPr>
                <w:sz w:val="20"/>
              </w:rPr>
              <w:t>RR (b)</w:t>
            </w:r>
          </w:p>
        </w:tc>
      </w:tr>
      <w:tr>
        <w:trPr>
          <w:cantSplit w:val="false"/>
        </w:trPr>
        <w:tc>
          <w:tcPr>
            <w:tcW w:type="dxa" w:w="2571"/>
            <w:tcBorders>
              <w:top w:val="none"/>
              <w:left w:val="none"/>
              <w:bottom w:val="none"/>
              <w:right w:val="none"/>
            </w:tcBorders>
            <w:shd w:fill="FFFFFF" w:val="clear"/>
          </w:tcPr>
          <w:p>
            <w:pPr>
              <w:pStyle w:val="style0"/>
              <w:spacing w:after="0" w:before="120" w:line="264" w:lineRule="auto"/>
              <w:contextualSpacing w:val="false"/>
            </w:pPr>
            <w:r>
              <w:rPr>
                <w:i/>
                <w:sz w:val="20"/>
              </w:rPr>
              <w:t>Branching ratios</w:t>
            </w:r>
          </w:p>
        </w:tc>
        <w:tc>
          <w:tcPr>
            <w:tcW w:type="dxa" w:w="982"/>
            <w:tcBorders>
              <w:top w:val="none"/>
              <w:left w:val="none"/>
              <w:bottom w:val="none"/>
              <w:right w:val="none"/>
            </w:tcBorders>
            <w:shd w:fill="FFFFFF" w:val="clear"/>
          </w:tcPr>
          <w:p>
            <w:pPr>
              <w:pStyle w:val="style0"/>
              <w:spacing w:after="0" w:before="120" w:line="264" w:lineRule="auto"/>
              <w:contextualSpacing w:val="false"/>
            </w:pPr>
            <w:r>
              <w:rPr/>
            </w:r>
          </w:p>
        </w:tc>
        <w:tc>
          <w:tcPr>
            <w:tcW w:type="dxa" w:w="2213"/>
            <w:tcBorders>
              <w:top w:val="none"/>
              <w:left w:val="none"/>
              <w:bottom w:val="none"/>
              <w:right w:val="none"/>
            </w:tcBorders>
            <w:shd w:fill="FFFFFF" w:val="clear"/>
          </w:tcPr>
          <w:p>
            <w:pPr>
              <w:pStyle w:val="style0"/>
              <w:spacing w:after="0" w:before="120" w:line="264" w:lineRule="auto"/>
              <w:contextualSpacing w:val="false"/>
            </w:pPr>
            <w:r>
              <w:rPr/>
            </w:r>
          </w:p>
        </w:tc>
        <w:tc>
          <w:tcPr>
            <w:tcW w:type="dxa" w:w="2250"/>
            <w:tcBorders>
              <w:top w:val="none"/>
              <w:left w:val="none"/>
              <w:bottom w:val="none"/>
              <w:right w:val="none"/>
            </w:tcBorders>
            <w:shd w:fill="FFFFFF" w:val="clear"/>
          </w:tcPr>
          <w:p>
            <w:pPr>
              <w:pStyle w:val="style0"/>
              <w:spacing w:after="0" w:before="120" w:line="264" w:lineRule="auto"/>
              <w:contextualSpacing w:val="false"/>
            </w:pPr>
            <w:r>
              <w:rPr/>
            </w:r>
          </w:p>
        </w:tc>
      </w:tr>
      <w:tr>
        <w:trPr>
          <w:cantSplit w:val="false"/>
        </w:trPr>
        <w:tc>
          <w:tcPr>
            <w:tcW w:type="dxa" w:w="2571"/>
            <w:tcBorders>
              <w:top w:val="none"/>
              <w:left w:val="none"/>
              <w:bottom w:val="none"/>
              <w:right w:val="none"/>
            </w:tcBorders>
            <w:shd w:fill="FFFFFF" w:val="clear"/>
          </w:tcPr>
          <w:p>
            <w:pPr>
              <w:pStyle w:val="style0"/>
              <w:spacing w:line="264" w:lineRule="auto"/>
            </w:pPr>
            <w:r>
              <w:rPr>
                <w:i/>
                <w:sz w:val="20"/>
              </w:rPr>
              <w:t>k</w:t>
            </w:r>
            <w:r>
              <w:rPr>
                <w:sz w:val="20"/>
                <w:vertAlign w:val="subscript"/>
              </w:rPr>
              <w:t>1</w:t>
            </w:r>
            <w:r>
              <w:rPr>
                <w:sz w:val="20"/>
              </w:rPr>
              <w:t>/</w:t>
            </w:r>
            <w:r>
              <w:rPr>
                <w:i/>
                <w:sz w:val="20"/>
              </w:rPr>
              <w:t>k</w:t>
            </w:r>
            <w:r>
              <w:rPr>
                <w:sz w:val="20"/>
              </w:rPr>
              <w:t xml:space="preserve"> = 0.8 </w:t>
            </w:r>
            <w:r>
              <w:rPr>
                <w:rFonts w:ascii="Symbol" w:hAnsi="Symbol"/>
                <w:sz w:val="20"/>
              </w:rPr>
              <w:t></w:t>
            </w:r>
            <w:r>
              <w:rPr>
                <w:sz w:val="20"/>
              </w:rPr>
              <w:t xml:space="preserve"> 0.2</w:t>
            </w:r>
          </w:p>
        </w:tc>
        <w:tc>
          <w:tcPr>
            <w:tcW w:type="dxa" w:w="982"/>
            <w:tcBorders>
              <w:top w:val="none"/>
              <w:left w:val="none"/>
              <w:bottom w:val="none"/>
              <w:right w:val="none"/>
            </w:tcBorders>
            <w:shd w:fill="FFFFFF" w:val="clear"/>
          </w:tcPr>
          <w:p>
            <w:pPr>
              <w:pStyle w:val="style0"/>
              <w:spacing w:line="264" w:lineRule="auto"/>
            </w:pPr>
            <w:r>
              <w:rPr>
                <w:sz w:val="20"/>
              </w:rPr>
              <w:t>295</w:t>
            </w:r>
          </w:p>
        </w:tc>
        <w:tc>
          <w:tcPr>
            <w:tcW w:type="dxa" w:w="2213"/>
            <w:tcBorders>
              <w:top w:val="none"/>
              <w:left w:val="none"/>
              <w:bottom w:val="none"/>
              <w:right w:val="none"/>
            </w:tcBorders>
            <w:shd w:fill="FFFFFF" w:val="clear"/>
          </w:tcPr>
          <w:p>
            <w:pPr>
              <w:pStyle w:val="style0"/>
              <w:spacing w:line="264" w:lineRule="auto"/>
            </w:pPr>
            <w:r>
              <w:rPr>
                <w:sz w:val="20"/>
              </w:rPr>
              <w:t>Carl et al., 1996</w:t>
            </w:r>
          </w:p>
        </w:tc>
        <w:tc>
          <w:tcPr>
            <w:tcW w:type="dxa" w:w="2250"/>
            <w:tcBorders>
              <w:top w:val="none"/>
              <w:left w:val="none"/>
              <w:bottom w:val="none"/>
              <w:right w:val="none"/>
            </w:tcBorders>
            <w:shd w:fill="FFFFFF" w:val="clear"/>
          </w:tcPr>
          <w:p>
            <w:pPr>
              <w:pStyle w:val="style0"/>
              <w:spacing w:line="264" w:lineRule="auto"/>
            </w:pPr>
            <w:r>
              <w:rPr>
                <w:sz w:val="20"/>
              </w:rPr>
              <w:t>FTIR /UV (c)</w:t>
            </w:r>
          </w:p>
        </w:tc>
      </w:tr>
      <w:tr>
        <w:trPr>
          <w:cantSplit w:val="false"/>
        </w:trPr>
        <w:tc>
          <w:tcPr>
            <w:tcW w:type="dxa" w:w="2571"/>
            <w:tcBorders>
              <w:top w:val="none"/>
              <w:left w:val="none"/>
              <w:bottom w:val="none"/>
              <w:right w:val="none"/>
            </w:tcBorders>
            <w:shd w:fill="FFFFFF" w:val="clear"/>
          </w:tcPr>
          <w:p>
            <w:pPr>
              <w:pStyle w:val="style0"/>
              <w:spacing w:line="264" w:lineRule="auto"/>
            </w:pPr>
            <w:r>
              <w:rPr>
                <w:i/>
                <w:sz w:val="20"/>
              </w:rPr>
              <w:t>k</w:t>
            </w:r>
            <w:r>
              <w:rPr>
                <w:sz w:val="20"/>
                <w:vertAlign w:val="subscript"/>
              </w:rPr>
              <w:t>2</w:t>
            </w:r>
            <w:r>
              <w:rPr>
                <w:sz w:val="20"/>
              </w:rPr>
              <w:t>/</w:t>
            </w:r>
            <w:r>
              <w:rPr>
                <w:i/>
                <w:sz w:val="20"/>
              </w:rPr>
              <w:t>k</w:t>
            </w:r>
            <w:r>
              <w:rPr>
                <w:sz w:val="20"/>
              </w:rPr>
              <w:t xml:space="preserve"> = 0.2 </w:t>
            </w:r>
            <w:r>
              <w:rPr>
                <w:rFonts w:ascii="Symbol" w:hAnsi="Symbol"/>
                <w:sz w:val="20"/>
              </w:rPr>
              <w:t></w:t>
            </w:r>
            <w:r>
              <w:rPr>
                <w:sz w:val="20"/>
              </w:rPr>
              <w:t xml:space="preserve"> 0.1</w:t>
            </w:r>
          </w:p>
        </w:tc>
        <w:tc>
          <w:tcPr>
            <w:tcW w:type="dxa" w:w="982"/>
            <w:tcBorders>
              <w:top w:val="none"/>
              <w:left w:val="none"/>
              <w:bottom w:val="none"/>
              <w:right w:val="none"/>
            </w:tcBorders>
            <w:shd w:fill="FFFFFF" w:val="clear"/>
          </w:tcPr>
          <w:p>
            <w:pPr>
              <w:pStyle w:val="style0"/>
              <w:spacing w:line="264" w:lineRule="auto"/>
            </w:pPr>
            <w:r>
              <w:rPr>
                <w:sz w:val="20"/>
              </w:rPr>
              <w:t>295</w:t>
            </w:r>
          </w:p>
        </w:tc>
        <w:tc>
          <w:tcPr>
            <w:tcW w:type="dxa" w:w="2213"/>
            <w:tcBorders>
              <w:top w:val="none"/>
              <w:left w:val="none"/>
              <w:bottom w:val="none"/>
              <w:right w:val="none"/>
            </w:tcBorders>
            <w:shd w:fill="FFFFFF" w:val="clear"/>
          </w:tcPr>
          <w:p>
            <w:pPr>
              <w:pStyle w:val="style0"/>
              <w:spacing w:line="264" w:lineRule="auto"/>
            </w:pPr>
            <w:r>
              <w:rPr/>
            </w:r>
          </w:p>
        </w:tc>
        <w:tc>
          <w:tcPr>
            <w:tcW w:type="dxa" w:w="2250"/>
            <w:tcBorders>
              <w:top w:val="none"/>
              <w:left w:val="none"/>
              <w:bottom w:val="none"/>
              <w:right w:val="none"/>
            </w:tcBorders>
            <w:shd w:fill="FFFFFF" w:val="clear"/>
          </w:tcPr>
          <w:p>
            <w:pPr>
              <w:pStyle w:val="style0"/>
              <w:spacing w:line="264" w:lineRule="auto"/>
            </w:pPr>
            <w:r>
              <w:rPr/>
            </w:r>
          </w:p>
        </w:tc>
      </w:tr>
      <w:tr>
        <w:trPr>
          <w:cantSplit w:val="false"/>
        </w:trPr>
        <w:tc>
          <w:tcPr>
            <w:tcW w:type="dxa" w:w="2571"/>
            <w:tcBorders>
              <w:top w:val="none"/>
              <w:left w:val="none"/>
              <w:bottom w:color="000001" w:space="0" w:sz="4" w:val="single"/>
              <w:right w:val="none"/>
            </w:tcBorders>
            <w:shd w:fill="FFFFFF" w:val="clear"/>
          </w:tcPr>
          <w:p>
            <w:pPr>
              <w:pStyle w:val="style0"/>
              <w:spacing w:after="120" w:before="0" w:line="264" w:lineRule="auto"/>
              <w:contextualSpacing w:val="false"/>
            </w:pPr>
            <w:r>
              <w:rPr>
                <w:i/>
                <w:sz w:val="20"/>
              </w:rPr>
              <w:t>k</w:t>
            </w:r>
            <w:r>
              <w:rPr>
                <w:sz w:val="20"/>
                <w:vertAlign w:val="subscript"/>
              </w:rPr>
              <w:t>1</w:t>
            </w:r>
            <w:r>
              <w:rPr>
                <w:sz w:val="20"/>
              </w:rPr>
              <w:t>/</w:t>
            </w:r>
            <w:r>
              <w:rPr>
                <w:i/>
                <w:sz w:val="20"/>
              </w:rPr>
              <w:t>k</w:t>
            </w:r>
            <w:r>
              <w:rPr>
                <w:sz w:val="20"/>
              </w:rPr>
              <w:t xml:space="preserve"> = 0.85 </w:t>
            </w:r>
            <w:r>
              <w:rPr>
                <w:rFonts w:ascii="Symbol" w:hAnsi="Symbol"/>
                <w:sz w:val="20"/>
              </w:rPr>
              <w:t></w:t>
            </w:r>
            <w:r>
              <w:rPr>
                <w:sz w:val="20"/>
              </w:rPr>
              <w:t xml:space="preserve"> 0.06</w:t>
            </w:r>
          </w:p>
        </w:tc>
        <w:tc>
          <w:tcPr>
            <w:tcW w:type="dxa" w:w="982"/>
            <w:tcBorders>
              <w:top w:val="none"/>
              <w:left w:val="none"/>
              <w:bottom w:color="000001" w:space="0" w:sz="4" w:val="single"/>
              <w:right w:val="none"/>
            </w:tcBorders>
            <w:shd w:fill="FFFFFF" w:val="clear"/>
          </w:tcPr>
          <w:p>
            <w:pPr>
              <w:pStyle w:val="style0"/>
              <w:spacing w:after="120" w:before="0" w:line="264" w:lineRule="auto"/>
              <w:contextualSpacing w:val="false"/>
            </w:pPr>
            <w:r>
              <w:rPr>
                <w:sz w:val="20"/>
              </w:rPr>
              <w:t>300</w:t>
            </w:r>
          </w:p>
        </w:tc>
        <w:tc>
          <w:tcPr>
            <w:tcW w:type="dxa" w:w="2213"/>
            <w:tcBorders>
              <w:top w:val="none"/>
              <w:left w:val="none"/>
              <w:bottom w:color="000001" w:space="0" w:sz="4" w:val="single"/>
              <w:right w:val="none"/>
            </w:tcBorders>
            <w:shd w:fill="FFFFFF" w:val="clear"/>
          </w:tcPr>
          <w:p>
            <w:pPr>
              <w:pStyle w:val="style0"/>
              <w:spacing w:after="120" w:before="0" w:line="264" w:lineRule="auto"/>
              <w:contextualSpacing w:val="false"/>
            </w:pPr>
            <w:r>
              <w:rPr>
                <w:sz w:val="20"/>
              </w:rPr>
              <w:t>Kukui et al., 1997</w:t>
            </w:r>
          </w:p>
        </w:tc>
        <w:tc>
          <w:tcPr>
            <w:tcW w:type="dxa" w:w="2250"/>
            <w:tcBorders>
              <w:top w:val="none"/>
              <w:left w:val="none"/>
              <w:bottom w:color="000001" w:space="0" w:sz="4" w:val="single"/>
              <w:right w:val="none"/>
            </w:tcBorders>
            <w:shd w:fill="FFFFFF" w:val="clear"/>
          </w:tcPr>
          <w:p>
            <w:pPr>
              <w:pStyle w:val="style0"/>
              <w:spacing w:after="120" w:before="0" w:line="264" w:lineRule="auto"/>
              <w:contextualSpacing w:val="false"/>
            </w:pPr>
            <w:r>
              <w:rPr>
                <w:sz w:val="20"/>
              </w:rPr>
              <w:t>DF-MS/LIF (a)</w:t>
            </w:r>
          </w:p>
        </w:tc>
      </w:tr>
    </w:tbl>
    <w:p>
      <w:pPr>
        <w:pStyle w:val="style0"/>
        <w:tabs>
          <w:tab w:leader="none" w:pos="4680" w:val="center"/>
          <w:tab w:leader="none" w:pos="4867" w:val="left"/>
          <w:tab w:leader="none" w:pos="8395" w:val="left"/>
          <w:tab w:leader="none" w:pos="8812" w:val="left"/>
        </w:tabs>
        <w:jc w:val="both"/>
      </w:pPr>
      <w:r>
        <w:rPr/>
      </w:r>
    </w:p>
    <w:p>
      <w:pPr>
        <w:pStyle w:val="style0"/>
        <w:tabs>
          <w:tab w:leader="none" w:pos="4680" w:val="center"/>
          <w:tab w:leader="none" w:pos="4867" w:val="left"/>
          <w:tab w:leader="none" w:pos="8395" w:val="left"/>
          <w:tab w:leader="none" w:pos="8812" w:val="left"/>
        </w:tabs>
        <w:jc w:val="center"/>
      </w:pPr>
      <w:r>
        <w:rPr>
          <w:b/>
        </w:rPr>
        <w:t>Comments</w:t>
      </w:r>
    </w:p>
    <w:p>
      <w:pPr>
        <w:pStyle w:val="style0"/>
        <w:tabs>
          <w:tab w:leader="none" w:pos="-1440" w:val="left"/>
          <w:tab w:leader="none" w:pos="-720" w:val="left"/>
          <w:tab w:leader="none" w:pos="444" w:val="left"/>
        </w:tabs>
        <w:jc w:val="both"/>
      </w:pPr>
      <w:r>
        <w:rPr/>
      </w:r>
    </w:p>
    <w:p>
      <w:pPr>
        <w:pStyle w:val="style0"/>
        <w:numPr>
          <w:ilvl w:val="0"/>
          <w:numId w:val="1"/>
        </w:numPr>
        <w:tabs>
          <w:tab w:leader="none" w:pos="-720" w:val="left"/>
          <w:tab w:leader="none" w:pos="0" w:val="left"/>
          <w:tab w:leader="none" w:pos="1164" w:val="left"/>
        </w:tabs>
        <w:ind w:hanging="360" w:left="360" w:right="525"/>
        <w:jc w:val="both"/>
      </w:pPr>
      <w:r>
        <w:rPr/>
        <w:t>Flow tube operated at 2.5 – 3.5 mbar of He. Cl and Cl</w:t>
      </w:r>
      <w:r>
        <w:rPr>
          <w:vertAlign w:val="subscript"/>
        </w:rPr>
        <w:t>2</w:t>
      </w:r>
      <w:r>
        <w:rPr/>
        <w:t xml:space="preserve"> monitored as their parent ions, CH</w:t>
      </w:r>
      <w:r>
        <w:rPr>
          <w:vertAlign w:val="subscript"/>
        </w:rPr>
        <w:t>3</w:t>
      </w:r>
      <w:r>
        <w:rPr/>
        <w:t>O was monitored by LIF, but not quantified. The relative sensitivity of the MS to Cl and Cl</w:t>
      </w:r>
      <w:r>
        <w:rPr>
          <w:vertAlign w:val="subscript"/>
        </w:rPr>
        <w:t>2</w:t>
      </w:r>
      <w:r>
        <w:rPr/>
        <w:t xml:space="preserve"> was determined by titration of Cl to Cl</w:t>
      </w:r>
      <w:r>
        <w:rPr>
          <w:vertAlign w:val="subscript"/>
        </w:rPr>
        <w:t>2</w:t>
      </w:r>
      <w:r>
        <w:rPr/>
        <w:t xml:space="preserve"> via reaction with NOCl. Rate coefficients were obtained from the Cl decay in excess CH</w:t>
      </w:r>
      <w:r>
        <w:rPr>
          <w:vertAlign w:val="subscript"/>
        </w:rPr>
        <w:t>3</w:t>
      </w:r>
      <w:r>
        <w:rPr/>
        <w:t xml:space="preserve">OCl, and the branching ratio, </w:t>
      </w:r>
      <w:r>
        <w:rPr>
          <w:i/>
        </w:rPr>
        <w:t>k</w:t>
      </w:r>
      <w:r>
        <w:rPr>
          <w:vertAlign w:val="subscript"/>
        </w:rPr>
        <w:t>1</w:t>
      </w:r>
      <w:r>
        <w:rPr/>
        <w:t>/</w:t>
      </w:r>
      <w:r>
        <w:rPr>
          <w:i/>
        </w:rPr>
        <w:t>k</w:t>
      </w:r>
      <w:r>
        <w:rPr/>
        <w:t>, was derived by numerical modeling of Cl loss and Cl</w:t>
      </w:r>
      <w:r>
        <w:rPr>
          <w:vertAlign w:val="subscript"/>
        </w:rPr>
        <w:t>2</w:t>
      </w:r>
      <w:r>
        <w:rPr/>
        <w:t xml:space="preserve"> production processes both in the desired reaction and secondary processes.</w:t>
      </w:r>
    </w:p>
    <w:p>
      <w:pPr>
        <w:pStyle w:val="style0"/>
        <w:numPr>
          <w:ilvl w:val="0"/>
          <w:numId w:val="1"/>
        </w:numPr>
        <w:tabs>
          <w:tab w:leader="none" w:pos="-720" w:val="left"/>
          <w:tab w:leader="none" w:pos="0" w:val="left"/>
          <w:tab w:leader="none" w:pos="1164" w:val="left"/>
        </w:tabs>
        <w:ind w:hanging="360" w:left="360" w:right="525"/>
        <w:jc w:val="both"/>
      </w:pPr>
      <w:r>
        <w:rPr/>
        <w:t>Relative rates of removal of CH</w:t>
      </w:r>
      <w:r>
        <w:rPr>
          <w:vertAlign w:val="subscript"/>
        </w:rPr>
        <w:t>3</w:t>
      </w:r>
      <w:r>
        <w:rPr/>
        <w:t>OCl  and C</w:t>
      </w:r>
      <w:r>
        <w:rPr>
          <w:vertAlign w:val="subscript"/>
        </w:rPr>
        <w:t>2</w:t>
      </w:r>
      <w:r>
        <w:rPr/>
        <w:t>H</w:t>
      </w:r>
      <w:r>
        <w:rPr>
          <w:vertAlign w:val="subscript"/>
        </w:rPr>
        <w:t>6</w:t>
      </w:r>
      <w:r>
        <w:rPr/>
        <w:t xml:space="preserve"> (reference reactant) monitored by FTIR in air and N</w:t>
      </w:r>
      <w:r>
        <w:rPr>
          <w:vertAlign w:val="subscript"/>
        </w:rPr>
        <w:t>2</w:t>
      </w:r>
      <w:r>
        <w:rPr/>
        <w:t xml:space="preserve"> bath gas at total pressure of 133 to 988 mbar. The value </w:t>
      </w:r>
      <w:r>
        <w:rPr>
          <w:i/>
        </w:rPr>
        <w:t>k</w:t>
      </w:r>
      <w:r>
        <w:rPr/>
        <w:t>/</w:t>
      </w:r>
      <w:r>
        <w:rPr>
          <w:i/>
        </w:rPr>
        <w:t>k</w:t>
      </w:r>
      <w:r>
        <w:rPr/>
        <w:t>(Cl + C</w:t>
      </w:r>
      <w:r>
        <w:rPr>
          <w:vertAlign w:val="subscript"/>
        </w:rPr>
        <w:t>2</w:t>
      </w:r>
      <w:r>
        <w:rPr/>
        <w:t>H</w:t>
      </w:r>
      <w:r>
        <w:rPr>
          <w:vertAlign w:val="subscript"/>
        </w:rPr>
        <w:t>6</w:t>
      </w:r>
      <w:r>
        <w:rPr/>
        <w:t xml:space="preserve">) = 1.07 </w:t>
      </w:r>
      <w:r>
        <w:rPr>
          <w:rFonts w:ascii="Symbol" w:hAnsi="Symbol"/>
        </w:rPr>
        <w:t></w:t>
      </w:r>
      <w:r>
        <w:rPr/>
        <w:t xml:space="preserve"> 0.02 was combined with </w:t>
      </w:r>
      <w:r>
        <w:rPr>
          <w:i/>
        </w:rPr>
        <w:t>k</w:t>
      </w:r>
      <w:r>
        <w:rPr/>
        <w:t>(Cl + C</w:t>
      </w:r>
      <w:r>
        <w:rPr>
          <w:vertAlign w:val="subscript"/>
        </w:rPr>
        <w:t>2</w:t>
      </w:r>
      <w:r>
        <w:rPr/>
        <w:t>H</w:t>
      </w:r>
      <w:r>
        <w:rPr>
          <w:vertAlign w:val="subscript"/>
        </w:rPr>
        <w:t>6</w:t>
      </w:r>
      <w:r>
        <w:rPr/>
        <w:t xml:space="preserve">) = 5.9 </w:t>
      </w:r>
      <w:r>
        <w:rPr>
          <w:rFonts w:ascii="Symbol" w:hAnsi="Symbol"/>
          <w:lang w:val="en-GB"/>
        </w:rPr>
        <w:t></w:t>
      </w:r>
      <w:r>
        <w:rPr/>
        <w:t xml:space="preserve"> 10</w:t>
      </w:r>
      <w:r>
        <w:rPr>
          <w:vertAlign w:val="superscript"/>
        </w:rPr>
        <w:t>-11</w:t>
      </w:r>
      <w:r>
        <w:rPr/>
        <w:t xml:space="preserve"> cm</w:t>
      </w:r>
      <w:r>
        <w:rPr>
          <w:vertAlign w:val="superscript"/>
        </w:rPr>
        <w:t>3</w:t>
      </w:r>
      <w:r>
        <w:rPr/>
        <w:t xml:space="preserve"> molecule</w:t>
      </w:r>
      <w:r>
        <w:rPr>
          <w:vertAlign w:val="superscript"/>
        </w:rPr>
        <w:t>-1</w:t>
      </w:r>
      <w:r>
        <w:rPr/>
        <w:t xml:space="preserve"> s</w:t>
      </w:r>
      <w:r>
        <w:rPr>
          <w:vertAlign w:val="superscript"/>
        </w:rPr>
        <w:noBreakHyphen/>
        <w:t>1</w:t>
      </w:r>
      <w:r>
        <w:rPr/>
        <w:t xml:space="preserve"> (Atkinson et al., 2006) to yield the value for </w:t>
      </w:r>
      <w:r>
        <w:rPr>
          <w:i/>
        </w:rPr>
        <w:t>k</w:t>
      </w:r>
      <w:r>
        <w:rPr/>
        <w:t xml:space="preserve"> listed in the table. </w:t>
      </w:r>
    </w:p>
    <w:p>
      <w:pPr>
        <w:pStyle w:val="style0"/>
        <w:numPr>
          <w:ilvl w:val="0"/>
          <w:numId w:val="1"/>
        </w:numPr>
        <w:tabs>
          <w:tab w:leader="none" w:pos="-720" w:val="left"/>
          <w:tab w:leader="none" w:pos="0" w:val="left"/>
          <w:tab w:leader="none" w:pos="1164" w:val="left"/>
        </w:tabs>
        <w:ind w:hanging="360" w:left="360" w:right="525"/>
        <w:jc w:val="both"/>
      </w:pPr>
      <w:r>
        <w:rPr/>
        <w:t>Branching ratios determined by quantitative analysis of CH</w:t>
      </w:r>
      <w:r>
        <w:rPr>
          <w:vertAlign w:val="subscript"/>
        </w:rPr>
        <w:t>3</w:t>
      </w:r>
      <w:r>
        <w:rPr/>
        <w:t>OCl loss combined with HCl formation (FTIR experiments) and also by CH</w:t>
      </w:r>
      <w:r>
        <w:rPr>
          <w:vertAlign w:val="subscript"/>
        </w:rPr>
        <w:t>3</w:t>
      </w:r>
      <w:r>
        <w:rPr/>
        <w:t>OCl loss combined with Cl</w:t>
      </w:r>
      <w:r>
        <w:rPr>
          <w:vertAlign w:val="subscript"/>
        </w:rPr>
        <w:t>2</w:t>
      </w:r>
      <w:r>
        <w:rPr/>
        <w:t xml:space="preserve"> formation (UV experiments). The chemistry was initiated by photolysis of Cl</w:t>
      </w:r>
      <w:r>
        <w:rPr>
          <w:vertAlign w:val="subscript"/>
        </w:rPr>
        <w:t>2</w:t>
      </w:r>
      <w:r>
        <w:rPr/>
        <w:t xml:space="preserve"> or CH</w:t>
      </w:r>
      <w:r>
        <w:rPr>
          <w:vertAlign w:val="subscript"/>
        </w:rPr>
        <w:t>3</w:t>
      </w:r>
      <w:r>
        <w:rPr/>
        <w:t xml:space="preserve">OCl itself. The HCl formation was modeled to assess the effects of secondary reactions such as Cl + HCHO. </w:t>
      </w:r>
    </w:p>
    <w:p>
      <w:pPr>
        <w:pStyle w:val="style0"/>
        <w:pageBreakBefore/>
        <w:tabs>
          <w:tab w:leader="none" w:pos="-1440" w:val="left"/>
          <w:tab w:leader="none" w:pos="-720" w:val="left"/>
          <w:tab w:leader="none" w:pos="444" w:val="left"/>
        </w:tabs>
        <w:jc w:val="both"/>
      </w:pPr>
      <w:r>
        <w:rPr/>
      </w:r>
    </w:p>
    <w:p>
      <w:pPr>
        <w:pStyle w:val="style0"/>
        <w:tabs>
          <w:tab w:leader="none" w:pos="4680" w:val="center"/>
        </w:tabs>
        <w:spacing w:line="240" w:lineRule="atLeast"/>
        <w:jc w:val="center"/>
      </w:pPr>
      <w:r>
        <w:rPr>
          <w:b/>
          <w:bCs/>
          <w:spacing w:val="-3"/>
          <w:sz w:val="24"/>
          <w:szCs w:val="24"/>
        </w:rPr>
        <w:t>Preferred Values</w:t>
      </w:r>
    </w:p>
    <w:p>
      <w:pPr>
        <w:pStyle w:val="style0"/>
      </w:pPr>
      <w:r>
        <w:rPr/>
      </w:r>
    </w:p>
    <w:tbl>
      <w:tblPr>
        <w:jc w:val="left"/>
        <w:tblInd w:type="dxa" w:w="965"/>
        <w:tblBorders>
          <w:top w:color="000001" w:space="0" w:sz="4" w:val="single"/>
          <w:left w:val="none"/>
          <w:bottom w:color="000001" w:space="0" w:sz="4" w:val="single"/>
          <w:insideH w:color="000001" w:space="0" w:sz="4" w:val="single"/>
          <w:right w:val="none"/>
          <w:insideV w:val="none"/>
        </w:tblBorders>
        <w:tblCellMar>
          <w:top w:type="dxa" w:w="0"/>
          <w:left w:type="dxa" w:w="108"/>
          <w:bottom w:type="dxa" w:w="0"/>
          <w:right w:type="dxa" w:w="108"/>
        </w:tblCellMar>
      </w:tblPr>
      <w:tblGrid>
        <w:gridCol w:w="3029"/>
        <w:gridCol w:w="3125"/>
        <w:gridCol w:w="2184"/>
      </w:tblGrid>
      <w:tr>
        <w:trPr>
          <w:cantSplit w:val="false"/>
        </w:trPr>
        <w:tc>
          <w:tcPr>
            <w:tcW w:type="dxa" w:w="3029"/>
            <w:tcBorders>
              <w:top w:color="000001" w:space="0" w:sz="4" w:val="single"/>
              <w:left w:val="none"/>
              <w:bottom w:color="000001" w:space="0" w:sz="4" w:val="single"/>
              <w:right w:val="none"/>
            </w:tcBorders>
            <w:shd w:fill="FFFFFF" w:val="clear"/>
          </w:tcPr>
          <w:p>
            <w:pPr>
              <w:pStyle w:val="style0"/>
              <w:tabs>
                <w:tab w:leader="none" w:pos="0" w:val="left"/>
                <w:tab w:leader="none" w:pos="444" w:val="left"/>
                <w:tab w:leader="none" w:pos="720" w:val="left"/>
              </w:tabs>
              <w:spacing w:line="240" w:lineRule="atLeast"/>
              <w:jc w:val="center"/>
            </w:pPr>
            <w:r>
              <w:rPr>
                <w:b/>
                <w:spacing w:val="-3"/>
                <w:sz w:val="24"/>
                <w:szCs w:val="24"/>
              </w:rPr>
              <w:t>Parameter</w:t>
            </w:r>
          </w:p>
        </w:tc>
        <w:tc>
          <w:tcPr>
            <w:tcW w:type="dxa" w:w="3125"/>
            <w:tcBorders>
              <w:top w:color="000001" w:space="0" w:sz="4" w:val="single"/>
              <w:left w:val="none"/>
              <w:bottom w:color="000001" w:space="0" w:sz="4" w:val="single"/>
              <w:right w:val="none"/>
            </w:tcBorders>
            <w:shd w:fill="FFFFFF" w:val="clear"/>
          </w:tcPr>
          <w:p>
            <w:pPr>
              <w:pStyle w:val="style0"/>
              <w:tabs>
                <w:tab w:leader="none" w:pos="0" w:val="left"/>
                <w:tab w:leader="none" w:pos="444" w:val="left"/>
                <w:tab w:leader="none" w:pos="720" w:val="left"/>
              </w:tabs>
              <w:spacing w:line="240" w:lineRule="atLeast"/>
              <w:jc w:val="center"/>
            </w:pPr>
            <w:r>
              <w:rPr>
                <w:b/>
                <w:spacing w:val="-3"/>
                <w:sz w:val="24"/>
                <w:szCs w:val="24"/>
              </w:rPr>
              <w:t>Value</w:t>
            </w:r>
          </w:p>
        </w:tc>
        <w:tc>
          <w:tcPr>
            <w:tcW w:type="dxa" w:w="2184"/>
            <w:tcBorders>
              <w:top w:color="000001" w:space="0" w:sz="4" w:val="single"/>
              <w:left w:val="none"/>
              <w:bottom w:color="000001" w:space="0" w:sz="4" w:val="single"/>
              <w:right w:val="none"/>
            </w:tcBorders>
            <w:shd w:fill="FFFFFF" w:val="clear"/>
          </w:tcPr>
          <w:p>
            <w:pPr>
              <w:pStyle w:val="style0"/>
              <w:tabs>
                <w:tab w:leader="none" w:pos="0" w:val="left"/>
                <w:tab w:leader="none" w:pos="444" w:val="left"/>
                <w:tab w:leader="none" w:pos="720" w:val="left"/>
              </w:tabs>
              <w:spacing w:line="240" w:lineRule="atLeast"/>
              <w:jc w:val="center"/>
            </w:pPr>
            <w:r>
              <w:rPr>
                <w:b/>
                <w:i/>
                <w:iCs/>
                <w:spacing w:val="-3"/>
                <w:sz w:val="24"/>
                <w:szCs w:val="24"/>
              </w:rPr>
              <w:t>T</w:t>
            </w:r>
            <w:r>
              <w:rPr>
                <w:b/>
                <w:spacing w:val="-3"/>
                <w:sz w:val="24"/>
                <w:szCs w:val="24"/>
              </w:rPr>
              <w:t>/K</w:t>
            </w:r>
          </w:p>
        </w:tc>
      </w:tr>
      <w:tr>
        <w:trPr>
          <w:cantSplit w:val="false"/>
        </w:trPr>
        <w:tc>
          <w:tcPr>
            <w:tcW w:type="dxa" w:w="3029"/>
            <w:tcBorders>
              <w:top w:color="000001" w:space="0" w:sz="4" w:val="single"/>
              <w:left w:val="none"/>
              <w:bottom w:val="none"/>
              <w:right w:val="none"/>
            </w:tcBorders>
            <w:shd w:fill="FFFFFF" w:val="clear"/>
          </w:tcPr>
          <w:p>
            <w:pPr>
              <w:pStyle w:val="style0"/>
              <w:tabs>
                <w:tab w:leader="none" w:pos="0" w:val="left"/>
                <w:tab w:leader="none" w:pos="444" w:val="left"/>
                <w:tab w:leader="none" w:pos="720" w:val="left"/>
              </w:tabs>
              <w:spacing w:line="240" w:lineRule="atLeast"/>
              <w:jc w:val="center"/>
            </w:pPr>
            <w:r>
              <w:rPr/>
            </w:r>
          </w:p>
        </w:tc>
        <w:tc>
          <w:tcPr>
            <w:tcW w:type="dxa" w:w="3125"/>
            <w:tcBorders>
              <w:top w:color="000001" w:space="0" w:sz="4" w:val="single"/>
              <w:left w:val="none"/>
              <w:bottom w:val="none"/>
              <w:right w:val="none"/>
            </w:tcBorders>
            <w:shd w:fill="FFFFFF" w:val="clear"/>
          </w:tcPr>
          <w:p>
            <w:pPr>
              <w:pStyle w:val="style0"/>
              <w:tabs>
                <w:tab w:leader="none" w:pos="0" w:val="left"/>
                <w:tab w:leader="none" w:pos="444" w:val="left"/>
                <w:tab w:leader="none" w:pos="720" w:val="left"/>
              </w:tabs>
              <w:spacing w:line="240" w:lineRule="atLeast"/>
            </w:pPr>
            <w:r>
              <w:rPr/>
            </w:r>
          </w:p>
        </w:tc>
        <w:tc>
          <w:tcPr>
            <w:tcW w:type="dxa" w:w="2184"/>
            <w:tcBorders>
              <w:top w:color="000001" w:space="0" w:sz="4" w:val="single"/>
              <w:left w:val="none"/>
              <w:bottom w:val="none"/>
              <w:right w:val="none"/>
            </w:tcBorders>
            <w:shd w:fill="FFFFFF" w:val="clear"/>
          </w:tcPr>
          <w:p>
            <w:pPr>
              <w:pStyle w:val="style0"/>
              <w:tabs>
                <w:tab w:leader="none" w:pos="0" w:val="left"/>
                <w:tab w:leader="none" w:pos="444" w:val="left"/>
                <w:tab w:leader="none" w:pos="720" w:val="left"/>
              </w:tabs>
              <w:spacing w:line="240" w:lineRule="atLeast"/>
              <w:jc w:val="center"/>
            </w:pPr>
            <w:r>
              <w:rPr/>
            </w:r>
          </w:p>
        </w:tc>
      </w:tr>
      <w:tr>
        <w:trPr>
          <w:cantSplit w:val="false"/>
        </w:trPr>
        <w:tc>
          <w:tcPr>
            <w:tcW w:type="dxa" w:w="3029"/>
            <w:tcBorders>
              <w:top w:val="none"/>
              <w:left w:val="none"/>
              <w:bottom w:val="none"/>
              <w:right w:val="none"/>
            </w:tcBorders>
            <w:shd w:fill="FFFFFF" w:val="clear"/>
          </w:tcPr>
          <w:p>
            <w:pPr>
              <w:pStyle w:val="style0"/>
              <w:tabs>
                <w:tab w:leader="none" w:pos="0" w:val="left"/>
                <w:tab w:leader="none" w:pos="444" w:val="left"/>
                <w:tab w:leader="none" w:pos="720" w:val="left"/>
              </w:tabs>
              <w:spacing w:line="240" w:lineRule="atLeast"/>
              <w:jc w:val="center"/>
            </w:pPr>
            <w:r>
              <w:rPr>
                <w:i/>
                <w:spacing w:val="-3"/>
                <w:sz w:val="24"/>
                <w:szCs w:val="24"/>
              </w:rPr>
              <w:t>k</w:t>
            </w:r>
            <w:r>
              <w:rPr>
                <w:spacing w:val="-3"/>
                <w:sz w:val="24"/>
                <w:szCs w:val="24"/>
              </w:rPr>
              <w:t xml:space="preserve"> /cm</w:t>
            </w:r>
            <w:r>
              <w:rPr>
                <w:spacing w:val="-3"/>
                <w:sz w:val="24"/>
                <w:szCs w:val="24"/>
                <w:vertAlign w:val="superscript"/>
              </w:rPr>
              <w:t>3</w:t>
            </w:r>
            <w:r>
              <w:rPr>
                <w:spacing w:val="-3"/>
                <w:sz w:val="24"/>
                <w:szCs w:val="24"/>
              </w:rPr>
              <w:t xml:space="preserve"> molecule</w:t>
            </w:r>
            <w:r>
              <w:rPr>
                <w:spacing w:val="-3"/>
                <w:sz w:val="24"/>
                <w:szCs w:val="24"/>
                <w:vertAlign w:val="superscript"/>
              </w:rPr>
              <w:t>-1</w:t>
            </w:r>
            <w:r>
              <w:rPr>
                <w:spacing w:val="-3"/>
                <w:sz w:val="24"/>
                <w:szCs w:val="24"/>
              </w:rPr>
              <w:t xml:space="preserve"> s</w:t>
            </w:r>
            <w:r>
              <w:rPr>
                <w:spacing w:val="-3"/>
                <w:sz w:val="24"/>
                <w:szCs w:val="24"/>
                <w:vertAlign w:val="superscript"/>
              </w:rPr>
              <w:t>-1</w:t>
            </w:r>
          </w:p>
        </w:tc>
        <w:tc>
          <w:tcPr>
            <w:tcW w:type="dxa" w:w="3125"/>
            <w:tcBorders>
              <w:top w:val="none"/>
              <w:left w:val="none"/>
              <w:bottom w:val="none"/>
              <w:right w:val="none"/>
            </w:tcBorders>
            <w:shd w:fill="FFFFFF" w:val="clear"/>
          </w:tcPr>
          <w:p>
            <w:pPr>
              <w:pStyle w:val="style0"/>
              <w:tabs>
                <w:tab w:leader="none" w:pos="0" w:val="left"/>
                <w:tab w:leader="none" w:pos="444" w:val="left"/>
                <w:tab w:leader="none" w:pos="720" w:val="left"/>
              </w:tabs>
              <w:spacing w:line="240" w:lineRule="atLeast"/>
              <w:jc w:val="center"/>
            </w:pPr>
            <w:r>
              <w:rPr/>
              <w:t>6.1 x 10</w:t>
            </w:r>
            <w:r>
              <w:rPr>
                <w:vertAlign w:val="superscript"/>
              </w:rPr>
              <w:t>-11</w:t>
            </w:r>
          </w:p>
        </w:tc>
        <w:tc>
          <w:tcPr>
            <w:tcW w:type="dxa" w:w="2184"/>
            <w:tcBorders>
              <w:top w:val="none"/>
              <w:left w:val="none"/>
              <w:bottom w:val="none"/>
              <w:right w:val="none"/>
            </w:tcBorders>
            <w:shd w:fill="FFFFFF" w:val="clear"/>
          </w:tcPr>
          <w:p>
            <w:pPr>
              <w:pStyle w:val="style0"/>
              <w:tabs>
                <w:tab w:leader="none" w:pos="0" w:val="left"/>
                <w:tab w:leader="none" w:pos="444" w:val="left"/>
                <w:tab w:leader="none" w:pos="720" w:val="left"/>
              </w:tabs>
              <w:spacing w:line="240" w:lineRule="atLeast"/>
              <w:jc w:val="center"/>
            </w:pPr>
            <w:r>
              <w:rPr>
                <w:spacing w:val="-3"/>
                <w:sz w:val="24"/>
                <w:szCs w:val="24"/>
              </w:rPr>
              <w:t>298</w:t>
            </w:r>
          </w:p>
        </w:tc>
      </w:tr>
      <w:tr>
        <w:trPr>
          <w:cantSplit w:val="false"/>
        </w:trPr>
        <w:tc>
          <w:tcPr>
            <w:tcW w:type="dxa" w:w="3029"/>
            <w:tcBorders>
              <w:top w:val="none"/>
              <w:left w:val="none"/>
              <w:bottom w:val="none"/>
              <w:right w:val="none"/>
            </w:tcBorders>
            <w:shd w:fill="FFFFFF" w:val="clear"/>
          </w:tcPr>
          <w:p>
            <w:pPr>
              <w:pStyle w:val="style0"/>
              <w:tabs>
                <w:tab w:leader="none" w:pos="0" w:val="left"/>
                <w:tab w:leader="none" w:pos="444" w:val="left"/>
                <w:tab w:leader="none" w:pos="720" w:val="left"/>
              </w:tabs>
              <w:spacing w:line="240" w:lineRule="atLeast"/>
              <w:jc w:val="center"/>
            </w:pPr>
            <w:r>
              <w:rPr>
                <w:i/>
                <w:iCs/>
                <w:spacing w:val="-3"/>
                <w:sz w:val="24"/>
                <w:szCs w:val="24"/>
              </w:rPr>
              <w:t>k</w:t>
            </w:r>
            <w:r>
              <w:rPr>
                <w:spacing w:val="-3"/>
                <w:sz w:val="24"/>
                <w:szCs w:val="24"/>
                <w:vertAlign w:val="subscript"/>
              </w:rPr>
              <w:t>1</w:t>
            </w:r>
            <w:r>
              <w:rPr>
                <w:spacing w:val="-3"/>
                <w:sz w:val="24"/>
                <w:szCs w:val="24"/>
              </w:rPr>
              <w:t>/</w:t>
            </w:r>
            <w:r>
              <w:rPr>
                <w:i/>
                <w:iCs/>
                <w:spacing w:val="-3"/>
                <w:sz w:val="24"/>
                <w:szCs w:val="24"/>
              </w:rPr>
              <w:t>k</w:t>
            </w:r>
          </w:p>
        </w:tc>
        <w:tc>
          <w:tcPr>
            <w:tcW w:type="dxa" w:w="3125"/>
            <w:tcBorders>
              <w:top w:val="none"/>
              <w:left w:val="none"/>
              <w:bottom w:val="none"/>
              <w:right w:val="none"/>
            </w:tcBorders>
            <w:shd w:fill="FFFFFF" w:val="clear"/>
          </w:tcPr>
          <w:p>
            <w:pPr>
              <w:pStyle w:val="style0"/>
              <w:tabs>
                <w:tab w:leader="none" w:pos="0" w:val="left"/>
                <w:tab w:leader="none" w:pos="444" w:val="left"/>
                <w:tab w:leader="none" w:pos="720" w:val="left"/>
              </w:tabs>
              <w:spacing w:line="240" w:lineRule="atLeast"/>
              <w:jc w:val="center"/>
            </w:pPr>
            <w:r>
              <w:rPr>
                <w:lang w:val="da-DK"/>
              </w:rPr>
              <w:t>0.85</w:t>
            </w:r>
          </w:p>
        </w:tc>
        <w:tc>
          <w:tcPr>
            <w:tcW w:type="dxa" w:w="2184"/>
            <w:tcBorders>
              <w:top w:val="none"/>
              <w:left w:val="none"/>
              <w:bottom w:val="none"/>
              <w:right w:val="none"/>
            </w:tcBorders>
            <w:shd w:fill="FFFFFF" w:val="clear"/>
          </w:tcPr>
          <w:p>
            <w:pPr>
              <w:pStyle w:val="style0"/>
              <w:tabs>
                <w:tab w:leader="none" w:pos="0" w:val="left"/>
                <w:tab w:leader="none" w:pos="444" w:val="left"/>
                <w:tab w:leader="none" w:pos="720" w:val="left"/>
              </w:tabs>
              <w:spacing w:line="240" w:lineRule="atLeast"/>
              <w:jc w:val="center"/>
            </w:pPr>
            <w:r>
              <w:rPr>
                <w:spacing w:val="-3"/>
                <w:sz w:val="24"/>
                <w:szCs w:val="24"/>
              </w:rPr>
              <w:t>298</w:t>
            </w:r>
          </w:p>
        </w:tc>
      </w:tr>
      <w:tr>
        <w:trPr>
          <w:cantSplit w:val="false"/>
        </w:trPr>
        <w:tc>
          <w:tcPr>
            <w:tcW w:type="dxa" w:w="3029"/>
            <w:tcBorders>
              <w:top w:val="none"/>
              <w:left w:val="none"/>
              <w:bottom w:val="none"/>
              <w:right w:val="none"/>
            </w:tcBorders>
            <w:shd w:fill="FFFFFF" w:val="clear"/>
          </w:tcPr>
          <w:p>
            <w:pPr>
              <w:pStyle w:val="style0"/>
              <w:tabs>
                <w:tab w:leader="none" w:pos="0" w:val="left"/>
                <w:tab w:leader="none" w:pos="444" w:val="left"/>
                <w:tab w:leader="none" w:pos="720" w:val="left"/>
              </w:tabs>
              <w:spacing w:line="240" w:lineRule="atLeast"/>
              <w:jc w:val="center"/>
            </w:pPr>
            <w:r>
              <w:rPr>
                <w:i/>
                <w:iCs/>
                <w:spacing w:val="-3"/>
                <w:sz w:val="24"/>
                <w:szCs w:val="24"/>
                <w:lang w:val="da-DK"/>
              </w:rPr>
              <w:t>k</w:t>
            </w:r>
            <w:r>
              <w:rPr>
                <w:spacing w:val="-3"/>
                <w:sz w:val="24"/>
                <w:szCs w:val="24"/>
                <w:vertAlign w:val="subscript"/>
                <w:lang w:val="da-DK"/>
              </w:rPr>
              <w:t>2</w:t>
            </w:r>
            <w:r>
              <w:rPr>
                <w:spacing w:val="-3"/>
                <w:sz w:val="24"/>
                <w:szCs w:val="24"/>
                <w:lang w:val="da-DK"/>
              </w:rPr>
              <w:t>/</w:t>
            </w:r>
            <w:r>
              <w:rPr>
                <w:i/>
                <w:iCs/>
                <w:spacing w:val="-3"/>
                <w:sz w:val="24"/>
                <w:szCs w:val="24"/>
                <w:lang w:val="da-DK"/>
              </w:rPr>
              <w:t>k</w:t>
            </w:r>
          </w:p>
        </w:tc>
        <w:tc>
          <w:tcPr>
            <w:tcW w:type="dxa" w:w="3125"/>
            <w:tcBorders>
              <w:top w:val="none"/>
              <w:left w:val="none"/>
              <w:bottom w:val="none"/>
              <w:right w:val="none"/>
            </w:tcBorders>
            <w:shd w:fill="FFFFFF" w:val="clear"/>
          </w:tcPr>
          <w:p>
            <w:pPr>
              <w:pStyle w:val="style0"/>
              <w:tabs>
                <w:tab w:leader="none" w:pos="0" w:val="left"/>
                <w:tab w:leader="none" w:pos="444" w:val="left"/>
                <w:tab w:leader="none" w:pos="720" w:val="left"/>
              </w:tabs>
              <w:spacing w:line="240" w:lineRule="atLeast"/>
              <w:jc w:val="center"/>
            </w:pPr>
            <w:r>
              <w:rPr>
                <w:spacing w:val="-3"/>
                <w:sz w:val="24"/>
                <w:szCs w:val="24"/>
                <w:lang w:val="da-DK"/>
              </w:rPr>
              <w:t>0.15</w:t>
            </w:r>
          </w:p>
        </w:tc>
        <w:tc>
          <w:tcPr>
            <w:tcW w:type="dxa" w:w="2184"/>
            <w:tcBorders>
              <w:top w:val="none"/>
              <w:left w:val="none"/>
              <w:bottom w:val="none"/>
              <w:right w:val="none"/>
            </w:tcBorders>
            <w:shd w:fill="FFFFFF" w:val="clear"/>
          </w:tcPr>
          <w:p>
            <w:pPr>
              <w:pStyle w:val="style0"/>
              <w:tabs>
                <w:tab w:leader="none" w:pos="0" w:val="left"/>
                <w:tab w:leader="none" w:pos="444" w:val="left"/>
                <w:tab w:leader="none" w:pos="720" w:val="left"/>
              </w:tabs>
              <w:spacing w:line="240" w:lineRule="atLeast"/>
              <w:jc w:val="center"/>
            </w:pPr>
            <w:r>
              <w:rPr>
                <w:spacing w:val="-3"/>
                <w:sz w:val="24"/>
                <w:szCs w:val="24"/>
              </w:rPr>
              <w:t>298</w:t>
            </w:r>
          </w:p>
        </w:tc>
      </w:tr>
    </w:tbl>
    <w:p>
      <w:pPr>
        <w:pStyle w:val="style0"/>
        <w:tabs>
          <w:tab w:leader="none" w:pos="-1440" w:val="left"/>
          <w:tab w:leader="none" w:pos="-720" w:val="left"/>
          <w:tab w:leader="none" w:pos="444" w:val="left"/>
        </w:tabs>
        <w:jc w:val="center"/>
      </w:pPr>
      <w:r>
        <w:rPr/>
      </w:r>
    </w:p>
    <w:p>
      <w:pPr>
        <w:pStyle w:val="style0"/>
        <w:tabs>
          <w:tab w:leader="none" w:pos="1714" w:val="left"/>
          <w:tab w:leader="none" w:pos="2158" w:val="left"/>
          <w:tab w:leader="none" w:pos="2434" w:val="left"/>
        </w:tabs>
        <w:spacing w:line="240" w:lineRule="atLeast"/>
        <w:ind w:hanging="0" w:left="857" w:right="0"/>
      </w:pPr>
      <w:r>
        <w:rPr>
          <w:i/>
          <w:spacing w:val="-3"/>
          <w:sz w:val="24"/>
          <w:szCs w:val="24"/>
        </w:rPr>
        <w:t>Reliability</w:t>
      </w:r>
    </w:p>
    <w:tbl>
      <w:tblPr>
        <w:jc w:val="left"/>
        <w:tblInd w:type="dxa" w:w="979"/>
        <w:tblBorders>
          <w:top w:val="none"/>
          <w:left w:val="none"/>
          <w:bottom w:val="none"/>
          <w:insideH w:val="none"/>
          <w:right w:val="none"/>
          <w:insideV w:val="none"/>
        </w:tblBorders>
        <w:tblCellMar>
          <w:top w:type="dxa" w:w="0"/>
          <w:left w:type="dxa" w:w="108"/>
          <w:bottom w:type="dxa" w:w="0"/>
          <w:right w:type="dxa" w:w="108"/>
        </w:tblCellMar>
      </w:tblPr>
      <w:tblGrid>
        <w:gridCol w:w="3015"/>
        <w:gridCol w:w="3125"/>
        <w:gridCol w:w="2169"/>
      </w:tblGrid>
      <w:tr>
        <w:trPr>
          <w:cantSplit w:val="false"/>
        </w:trPr>
        <w:tc>
          <w:tcPr>
            <w:tcW w:type="dxa" w:w="3015"/>
            <w:tcBorders>
              <w:top w:val="none"/>
              <w:left w:val="none"/>
              <w:bottom w:val="none"/>
              <w:right w:val="none"/>
            </w:tcBorders>
            <w:shd w:fill="FFFFFF" w:val="clear"/>
          </w:tcPr>
          <w:p>
            <w:pPr>
              <w:pStyle w:val="style0"/>
              <w:tabs>
                <w:tab w:leader="none" w:pos="0" w:val="left"/>
                <w:tab w:leader="none" w:pos="444" w:val="left"/>
                <w:tab w:leader="none" w:pos="720" w:val="left"/>
              </w:tabs>
              <w:spacing w:line="240" w:lineRule="atLeast"/>
              <w:jc w:val="center"/>
            </w:pPr>
            <w:r>
              <w:rPr>
                <w:rFonts w:ascii="Symbol" w:hAnsi="Symbol"/>
                <w:spacing w:val="-3"/>
                <w:sz w:val="24"/>
                <w:szCs w:val="24"/>
              </w:rPr>
              <w:t></w:t>
            </w:r>
            <w:r>
              <w:rPr>
                <w:spacing w:val="-3"/>
                <w:sz w:val="24"/>
                <w:szCs w:val="24"/>
              </w:rPr>
              <w:t xml:space="preserve"> </w:t>
            </w:r>
            <w:r>
              <w:rPr>
                <w:spacing w:val="-3"/>
                <w:sz w:val="24"/>
                <w:szCs w:val="24"/>
              </w:rPr>
              <w:t>log</w:t>
            </w:r>
            <w:r>
              <w:rPr>
                <w:i/>
                <w:spacing w:val="-3"/>
                <w:sz w:val="24"/>
                <w:szCs w:val="24"/>
              </w:rPr>
              <w:t xml:space="preserve"> k</w:t>
            </w:r>
          </w:p>
        </w:tc>
        <w:tc>
          <w:tcPr>
            <w:tcW w:type="dxa" w:w="3125"/>
            <w:tcBorders>
              <w:top w:val="none"/>
              <w:left w:val="none"/>
              <w:bottom w:val="none"/>
              <w:right w:val="none"/>
            </w:tcBorders>
            <w:shd w:fill="FFFFFF" w:val="clear"/>
          </w:tcPr>
          <w:p>
            <w:pPr>
              <w:pStyle w:val="style0"/>
              <w:tabs>
                <w:tab w:leader="none" w:pos="0" w:val="left"/>
                <w:tab w:leader="none" w:pos="444" w:val="left"/>
                <w:tab w:leader="none" w:pos="720" w:val="left"/>
              </w:tabs>
              <w:spacing w:line="240" w:lineRule="atLeast"/>
              <w:jc w:val="center"/>
            </w:pPr>
            <w:r>
              <w:rPr>
                <w:spacing w:val="-3"/>
                <w:sz w:val="24"/>
                <w:szCs w:val="24"/>
              </w:rPr>
              <w:t>± 0.1</w:t>
            </w:r>
          </w:p>
        </w:tc>
        <w:tc>
          <w:tcPr>
            <w:tcW w:type="dxa" w:w="2169"/>
            <w:tcBorders>
              <w:top w:val="none"/>
              <w:left w:val="none"/>
              <w:bottom w:val="none"/>
              <w:right w:val="none"/>
            </w:tcBorders>
            <w:shd w:fill="FFFFFF" w:val="clear"/>
          </w:tcPr>
          <w:p>
            <w:pPr>
              <w:pStyle w:val="style0"/>
              <w:tabs>
                <w:tab w:leader="none" w:pos="0" w:val="left"/>
                <w:tab w:leader="none" w:pos="444" w:val="left"/>
                <w:tab w:leader="none" w:pos="720" w:val="left"/>
              </w:tabs>
              <w:spacing w:line="240" w:lineRule="atLeast"/>
              <w:jc w:val="center"/>
            </w:pPr>
            <w:r>
              <w:rPr>
                <w:spacing w:val="-3"/>
                <w:sz w:val="24"/>
                <w:szCs w:val="24"/>
              </w:rPr>
              <w:t>298</w:t>
            </w:r>
          </w:p>
        </w:tc>
      </w:tr>
      <w:tr>
        <w:trPr>
          <w:cantSplit w:val="false"/>
        </w:trPr>
        <w:tc>
          <w:tcPr>
            <w:tcW w:type="dxa" w:w="3015"/>
            <w:tcBorders>
              <w:top w:val="none"/>
              <w:left w:val="none"/>
              <w:bottom w:val="none"/>
              <w:right w:val="none"/>
            </w:tcBorders>
            <w:shd w:fill="FFFFFF" w:val="clear"/>
          </w:tcPr>
          <w:p>
            <w:pPr>
              <w:pStyle w:val="style0"/>
              <w:tabs>
                <w:tab w:leader="none" w:pos="0" w:val="left"/>
                <w:tab w:leader="none" w:pos="444" w:val="left"/>
                <w:tab w:leader="none" w:pos="720" w:val="left"/>
              </w:tabs>
              <w:spacing w:line="240" w:lineRule="atLeast"/>
              <w:jc w:val="center"/>
            </w:pPr>
            <w:r>
              <w:rPr>
                <w:spacing w:val="-3"/>
                <w:sz w:val="24"/>
                <w:szCs w:val="24"/>
              </w:rPr>
              <w:t>Δ(</w:t>
            </w:r>
            <w:r>
              <w:rPr>
                <w:i/>
                <w:iCs/>
                <w:spacing w:val="-3"/>
                <w:sz w:val="24"/>
                <w:szCs w:val="24"/>
              </w:rPr>
              <w:t>k</w:t>
            </w:r>
            <w:r>
              <w:rPr>
                <w:spacing w:val="-3"/>
                <w:sz w:val="24"/>
                <w:szCs w:val="24"/>
                <w:vertAlign w:val="subscript"/>
              </w:rPr>
              <w:t>1</w:t>
            </w:r>
            <w:r>
              <w:rPr>
                <w:spacing w:val="-3"/>
                <w:sz w:val="24"/>
                <w:szCs w:val="24"/>
              </w:rPr>
              <w:t>/</w:t>
            </w:r>
            <w:r>
              <w:rPr>
                <w:i/>
                <w:iCs/>
                <w:spacing w:val="-3"/>
                <w:sz w:val="24"/>
                <w:szCs w:val="24"/>
              </w:rPr>
              <w:t>k</w:t>
            </w:r>
            <w:r>
              <w:rPr>
                <w:spacing w:val="-3"/>
                <w:sz w:val="24"/>
                <w:szCs w:val="24"/>
              </w:rPr>
              <w:t>)</w:t>
            </w:r>
          </w:p>
        </w:tc>
        <w:tc>
          <w:tcPr>
            <w:tcW w:type="dxa" w:w="3125"/>
            <w:tcBorders>
              <w:top w:val="none"/>
              <w:left w:val="none"/>
              <w:bottom w:val="none"/>
              <w:right w:val="none"/>
            </w:tcBorders>
            <w:shd w:fill="FFFFFF" w:val="clear"/>
          </w:tcPr>
          <w:p>
            <w:pPr>
              <w:pStyle w:val="style0"/>
              <w:tabs>
                <w:tab w:leader="none" w:pos="0" w:val="left"/>
                <w:tab w:leader="none" w:pos="444" w:val="left"/>
                <w:tab w:leader="none" w:pos="720" w:val="left"/>
              </w:tabs>
              <w:spacing w:line="240" w:lineRule="atLeast"/>
              <w:jc w:val="center"/>
            </w:pPr>
            <w:r>
              <w:rPr>
                <w:rFonts w:ascii="Symbol" w:hAnsi="Symbol"/>
                <w:spacing w:val="-2"/>
                <w:sz w:val="24"/>
                <w:szCs w:val="24"/>
              </w:rPr>
              <w:t></w:t>
            </w:r>
            <w:r>
              <w:rPr>
                <w:spacing w:val="-2"/>
                <w:sz w:val="24"/>
                <w:szCs w:val="24"/>
              </w:rPr>
              <w:t xml:space="preserve"> </w:t>
            </w:r>
            <w:r>
              <w:rPr>
                <w:spacing w:val="-2"/>
                <w:sz w:val="24"/>
                <w:szCs w:val="24"/>
              </w:rPr>
              <w:t>0.1</w:t>
            </w:r>
          </w:p>
        </w:tc>
        <w:tc>
          <w:tcPr>
            <w:tcW w:type="dxa" w:w="2169"/>
            <w:tcBorders>
              <w:top w:val="none"/>
              <w:left w:val="none"/>
              <w:bottom w:val="none"/>
              <w:right w:val="none"/>
            </w:tcBorders>
            <w:shd w:fill="FFFFFF" w:val="clear"/>
          </w:tcPr>
          <w:p>
            <w:pPr>
              <w:pStyle w:val="style0"/>
              <w:tabs>
                <w:tab w:leader="none" w:pos="0" w:val="left"/>
                <w:tab w:leader="none" w:pos="444" w:val="left"/>
                <w:tab w:leader="none" w:pos="720" w:val="left"/>
              </w:tabs>
              <w:spacing w:line="240" w:lineRule="atLeast"/>
              <w:jc w:val="center"/>
            </w:pPr>
            <w:r>
              <w:rPr>
                <w:spacing w:val="-3"/>
                <w:sz w:val="24"/>
                <w:szCs w:val="24"/>
              </w:rPr>
              <w:t>298</w:t>
            </w:r>
          </w:p>
        </w:tc>
      </w:tr>
      <w:tr>
        <w:trPr>
          <w:cantSplit w:val="false"/>
        </w:trPr>
        <w:tc>
          <w:tcPr>
            <w:tcW w:type="dxa" w:w="3015"/>
            <w:tcBorders>
              <w:top w:val="none"/>
              <w:left w:val="none"/>
              <w:bottom w:color="000001" w:space="0" w:sz="4" w:val="single"/>
              <w:right w:val="none"/>
            </w:tcBorders>
            <w:shd w:fill="FFFFFF" w:val="clear"/>
          </w:tcPr>
          <w:p>
            <w:pPr>
              <w:pStyle w:val="style0"/>
              <w:tabs>
                <w:tab w:leader="none" w:pos="0" w:val="left"/>
                <w:tab w:leader="none" w:pos="444" w:val="left"/>
                <w:tab w:leader="none" w:pos="720" w:val="left"/>
              </w:tabs>
              <w:spacing w:line="240" w:lineRule="atLeast"/>
              <w:jc w:val="center"/>
            </w:pPr>
            <w:r>
              <w:rPr>
                <w:spacing w:val="-3"/>
                <w:sz w:val="24"/>
                <w:szCs w:val="24"/>
              </w:rPr>
              <w:t>Δ</w:t>
            </w:r>
            <w:r>
              <w:rPr>
                <w:spacing w:val="-3"/>
                <w:sz w:val="24"/>
                <w:szCs w:val="24"/>
                <w:lang w:val="da-DK"/>
              </w:rPr>
              <w:t>(</w:t>
            </w:r>
            <w:r>
              <w:rPr>
                <w:i/>
                <w:iCs/>
                <w:spacing w:val="-3"/>
                <w:sz w:val="24"/>
                <w:szCs w:val="24"/>
                <w:lang w:val="da-DK"/>
              </w:rPr>
              <w:t>k</w:t>
            </w:r>
            <w:r>
              <w:rPr>
                <w:spacing w:val="-3"/>
                <w:sz w:val="24"/>
                <w:szCs w:val="24"/>
                <w:vertAlign w:val="subscript"/>
                <w:lang w:val="da-DK"/>
              </w:rPr>
              <w:t>2</w:t>
            </w:r>
            <w:r>
              <w:rPr>
                <w:spacing w:val="-3"/>
                <w:sz w:val="24"/>
                <w:szCs w:val="24"/>
                <w:lang w:val="da-DK"/>
              </w:rPr>
              <w:t>/</w:t>
            </w:r>
            <w:r>
              <w:rPr>
                <w:i/>
                <w:iCs/>
                <w:spacing w:val="-3"/>
                <w:sz w:val="24"/>
                <w:szCs w:val="24"/>
                <w:lang w:val="da-DK"/>
              </w:rPr>
              <w:t>k</w:t>
            </w:r>
            <w:r>
              <w:rPr>
                <w:spacing w:val="-3"/>
                <w:sz w:val="24"/>
                <w:szCs w:val="24"/>
                <w:lang w:val="da-DK"/>
              </w:rPr>
              <w:t>)</w:t>
            </w:r>
          </w:p>
        </w:tc>
        <w:tc>
          <w:tcPr>
            <w:tcW w:type="dxa" w:w="3125"/>
            <w:tcBorders>
              <w:top w:val="none"/>
              <w:left w:val="none"/>
              <w:bottom w:color="000001" w:space="0" w:sz="4" w:val="single"/>
              <w:right w:val="none"/>
            </w:tcBorders>
            <w:shd w:fill="FFFFFF" w:val="clear"/>
          </w:tcPr>
          <w:p>
            <w:pPr>
              <w:pStyle w:val="style0"/>
              <w:tabs>
                <w:tab w:leader="none" w:pos="0" w:val="left"/>
                <w:tab w:leader="none" w:pos="444" w:val="left"/>
                <w:tab w:leader="none" w:pos="720" w:val="left"/>
              </w:tabs>
              <w:spacing w:line="240" w:lineRule="atLeast"/>
              <w:jc w:val="center"/>
            </w:pPr>
            <w:r>
              <w:rPr>
                <w:rFonts w:ascii="Symbol" w:hAnsi="Symbol"/>
                <w:spacing w:val="-2"/>
                <w:sz w:val="24"/>
                <w:szCs w:val="24"/>
              </w:rPr>
              <w:t></w:t>
            </w:r>
            <w:r>
              <w:rPr>
                <w:spacing w:val="-2"/>
                <w:sz w:val="24"/>
                <w:szCs w:val="24"/>
              </w:rPr>
              <w:t xml:space="preserve"> </w:t>
            </w:r>
            <w:r>
              <w:rPr>
                <w:spacing w:val="-2"/>
                <w:sz w:val="24"/>
                <w:szCs w:val="24"/>
              </w:rPr>
              <w:t>0.1</w:t>
            </w:r>
          </w:p>
        </w:tc>
        <w:tc>
          <w:tcPr>
            <w:tcW w:type="dxa" w:w="2169"/>
            <w:tcBorders>
              <w:top w:val="none"/>
              <w:left w:val="none"/>
              <w:bottom w:color="000001" w:space="0" w:sz="4" w:val="single"/>
              <w:right w:val="none"/>
            </w:tcBorders>
            <w:shd w:fill="FFFFFF" w:val="clear"/>
          </w:tcPr>
          <w:p>
            <w:pPr>
              <w:pStyle w:val="style0"/>
              <w:tabs>
                <w:tab w:leader="none" w:pos="0" w:val="left"/>
                <w:tab w:leader="none" w:pos="444" w:val="left"/>
                <w:tab w:leader="none" w:pos="720" w:val="left"/>
              </w:tabs>
              <w:spacing w:line="240" w:lineRule="atLeast"/>
              <w:jc w:val="center"/>
            </w:pPr>
            <w:r>
              <w:rPr>
                <w:spacing w:val="-3"/>
                <w:sz w:val="24"/>
                <w:szCs w:val="24"/>
              </w:rPr>
              <w:t>298</w:t>
            </w:r>
          </w:p>
        </w:tc>
      </w:tr>
    </w:tbl>
    <w:p>
      <w:pPr>
        <w:pStyle w:val="style0"/>
        <w:tabs>
          <w:tab w:leader="none" w:pos="-1440" w:val="left"/>
          <w:tab w:leader="none" w:pos="-720" w:val="left"/>
          <w:tab w:leader="none" w:pos="444" w:val="left"/>
        </w:tabs>
        <w:jc w:val="both"/>
      </w:pPr>
      <w:r>
        <w:rPr/>
      </w:r>
    </w:p>
    <w:p>
      <w:pPr>
        <w:pStyle w:val="style0"/>
        <w:tabs>
          <w:tab w:leader="none" w:pos="-1440" w:val="left"/>
          <w:tab w:leader="none" w:pos="-720" w:val="left"/>
          <w:tab w:leader="none" w:pos="444" w:val="left"/>
        </w:tabs>
        <w:jc w:val="both"/>
      </w:pPr>
      <w:r>
        <w:rPr>
          <w:i/>
        </w:rPr>
        <w:t>Comments on Preferred Values</w:t>
      </w:r>
    </w:p>
    <w:p>
      <w:pPr>
        <w:pStyle w:val="style0"/>
        <w:tabs>
          <w:tab w:leader="none" w:pos="-748" w:val="left"/>
          <w:tab w:leader="none" w:pos="-28" w:val="left"/>
          <w:tab w:leader="none" w:pos="1136" w:val="left"/>
        </w:tabs>
        <w:ind w:hanging="0" w:left="346" w:right="525"/>
        <w:jc w:val="both"/>
      </w:pPr>
      <w:r>
        <w:rPr/>
        <w:t xml:space="preserve">The preferred values of </w:t>
      </w:r>
      <w:r>
        <w:rPr>
          <w:i/>
        </w:rPr>
        <w:t>k</w:t>
      </w:r>
      <w:r>
        <w:rPr/>
        <w:t xml:space="preserve">(298 K) is an average of the absolute and relative rate experiments, which are in excellent agreement. A consistent result for the branching ratios also emerges from these studies, and the value obtained by Kukui et al. (1997) for </w:t>
      </w:r>
      <w:r>
        <w:rPr>
          <w:i/>
        </w:rPr>
        <w:t>k</w:t>
      </w:r>
      <w:r>
        <w:rPr>
          <w:vertAlign w:val="subscript"/>
        </w:rPr>
        <w:t>1</w:t>
      </w:r>
      <w:r>
        <w:rPr/>
        <w:t>/</w:t>
      </w:r>
      <w:r>
        <w:rPr>
          <w:i/>
        </w:rPr>
        <w:t>k</w:t>
      </w:r>
      <w:r>
        <w:rPr/>
        <w:t xml:space="preserve"> is adopted. The product analysis of Carl et al. (1996) provides confirmation of this result, and that channel (2) provides the rest of the product formation. Theoretical work confirms the existence of these two reaction channels, and suggests comparable effciencies at room temperature and dominance of hydrogen abstraction at higher temperatures (He et al., 2005).</w:t>
      </w:r>
    </w:p>
    <w:p>
      <w:pPr>
        <w:pStyle w:val="style0"/>
        <w:tabs>
          <w:tab w:leader="none" w:pos="-1440" w:val="left"/>
          <w:tab w:leader="none" w:pos="-720" w:val="left"/>
          <w:tab w:leader="none" w:pos="444" w:val="left"/>
        </w:tabs>
        <w:ind w:firstLine="444" w:left="0" w:right="0"/>
        <w:jc w:val="both"/>
      </w:pPr>
      <w:r>
        <w:rPr/>
      </w:r>
    </w:p>
    <w:p>
      <w:pPr>
        <w:pStyle w:val="style0"/>
        <w:tabs>
          <w:tab w:leader="none" w:pos="4680" w:val="center"/>
        </w:tabs>
        <w:jc w:val="center"/>
      </w:pPr>
      <w:r>
        <w:rPr>
          <w:b/>
        </w:rPr>
        <w:t>References</w:t>
      </w:r>
    </w:p>
    <w:p>
      <w:pPr>
        <w:pStyle w:val="style0"/>
        <w:tabs>
          <w:tab w:leader="none" w:pos="-1440" w:val="left"/>
          <w:tab w:leader="none" w:pos="-720" w:val="left"/>
          <w:tab w:leader="none" w:pos="288" w:val="left"/>
        </w:tabs>
        <w:jc w:val="both"/>
      </w:pPr>
      <w:r>
        <w:rPr/>
      </w:r>
    </w:p>
    <w:p>
      <w:pPr>
        <w:pStyle w:val="style0"/>
        <w:widowControl/>
        <w:ind w:hanging="0" w:left="346" w:right="525"/>
      </w:pPr>
      <w:r>
        <w:rPr>
          <w:spacing w:val="-3"/>
        </w:rPr>
        <w:t>Atkinson, R., Baulch, D. L., Cox, R. A., Crowley, J. N., Hampson, R. F., Hynes, R. G., Jenkin, M. E., Rossi, M. J., and Troe, J.: Atmos. Chem. Phys., 6, 3625, 2006; IUPAC Task Group on Atmospheric Chemical Kinetic Data Evaluation,</w:t>
      </w:r>
      <w:r>
        <w:rPr>
          <w:spacing w:val="-3"/>
          <w:sz w:val="24"/>
          <w:szCs w:val="24"/>
        </w:rPr>
        <w:t xml:space="preserve"> </w:t>
      </w:r>
      <w:hyperlink r:id="rId4">
        <w:r>
          <w:rPr>
            <w:rStyle w:val="style18"/>
            <w:rStyle w:val="style18"/>
          </w:rPr>
          <w:t>http://iupac.pole-ether.fr</w:t>
        </w:r>
      </w:hyperlink>
    </w:p>
    <w:p>
      <w:pPr>
        <w:pStyle w:val="style0"/>
        <w:tabs>
          <w:tab w:leader="none" w:pos="-748" w:val="left"/>
          <w:tab w:leader="none" w:pos="-28" w:val="left"/>
          <w:tab w:leader="none" w:pos="1052" w:val="left"/>
        </w:tabs>
        <w:ind w:hanging="0" w:left="346" w:right="525"/>
        <w:jc w:val="both"/>
      </w:pPr>
      <w:r>
        <w:rPr/>
        <w:t xml:space="preserve">Carl, S. A., Roehl, C. M., Müller, R., Moortgat, G. K. and Crowley, J. N.: J. Phys. Chem. 100, </w:t>
        <w:tab/>
        <w:t>17191, 1996.</w:t>
      </w:r>
    </w:p>
    <w:p>
      <w:pPr>
        <w:pStyle w:val="style0"/>
        <w:tabs>
          <w:tab w:leader="none" w:pos="-748" w:val="left"/>
          <w:tab w:leader="none" w:pos="-28" w:val="left"/>
        </w:tabs>
        <w:ind w:hanging="0" w:left="346" w:right="525"/>
        <w:jc w:val="both"/>
      </w:pPr>
      <w:r>
        <w:rPr/>
        <w:t>He, H.-Q., Liu, J.-Y., Li, Z.-S. and Sun, C.-C.: J. Comput. Chem. 26, 642, 2005.</w:t>
      </w:r>
    </w:p>
    <w:p>
      <w:pPr>
        <w:pStyle w:val="style0"/>
        <w:tabs>
          <w:tab w:leader="none" w:pos="-748" w:val="left"/>
          <w:tab w:leader="none" w:pos="-28" w:val="left"/>
        </w:tabs>
        <w:ind w:hanging="0" w:left="346" w:right="525"/>
        <w:jc w:val="both"/>
      </w:pPr>
      <w:r>
        <w:rPr>
          <w:lang w:val="de-DE"/>
        </w:rPr>
        <w:t>Kukui, A., Roggenbuck, J. and Schindler, R. N.: Ber. Bunsenges. Phys. Chem. 101, 281, 1997.</w:t>
      </w:r>
    </w:p>
    <w:sectPr>
      <w:type w:val="nextPage"/>
      <w:pgSz w:h="16838" w:w="11906"/>
      <w:pgMar w:bottom="965" w:footer="0" w:gutter="0" w:header="0" w:left="996" w:right="1114" w:top="965"/>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Times New Roman">
    <w:charset w:val="80"/>
    <w:family w:val="roman"/>
    <w:pitch w:val="variable"/>
  </w:font>
  <w:font w:name="CG Times">
    <w:charset w:val="80"/>
    <w:family w:val="roman"/>
    <w:pitch w:val="variable"/>
  </w:font>
  <w:font w:name="Liberation Sans">
    <w:altName w:val="Arial"/>
    <w:charset w:val="80"/>
    <w:family w:val="swiss"/>
    <w:pitch w:val="variable"/>
  </w:font>
  <w:font w:name="Tahoma">
    <w:charset w:val="80"/>
    <w:family w:val="roman"/>
    <w:pitch w:val="variable"/>
  </w:font>
  <w:font w:name="Times New Roman">
    <w:charset w:val="80"/>
    <w:family w:val="roman"/>
    <w:pitch w:val="default"/>
  </w:font>
  <w:font w:name="Symbol">
    <w:charset w:val="80"/>
    <w:family w:val="roman"/>
    <w:pitch w:val="variable"/>
  </w:font>
</w:fonts>
</file>

<file path=word/numbering.xml><?xml version="1.0" encoding="utf-8"?>
<w:numbering xmlns:w="http://schemas.openxmlformats.org/wordprocessingml/2006/main">
  <w:abstractNum w:abstractNumId="1">
    <w:lvl w:ilvl="0">
      <w:start w:val="1"/>
      <w:numFmt w:val="lowerLetter"/>
      <w:lvlText w:val="(%1)"/>
      <w:lvlJc w:val="left"/>
      <w:pPr>
        <w:tabs>
          <w:tab w:pos="360" w:val="num"/>
        </w:tabs>
        <w:ind w:hanging="360" w:left="36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10"/>
  <w:embedSystemFonts/>
  <w:defaultTabStop w:val="720"/>
</w:settings>
</file>

<file path=word/styles.xml><?xml version="1.0" encoding="utf-8"?>
<w:styles xmlns:w="http://schemas.openxmlformats.org/wordprocessingml/2006/main">
  <w:style w:styleId="style0" w:type="paragraph">
    <w:name w:val="Normal"/>
    <w:next w:val="style0"/>
    <w:pPr>
      <w:widowControl w:val="false"/>
      <w:suppressAutoHyphens w:val="true"/>
    </w:pPr>
    <w:rPr>
      <w:rFonts w:ascii="Times New Roman" w:cs="Times New Roman" w:eastAsia="Times New Roman" w:hAnsi="Times New Roman"/>
      <w:color w:val="00000A"/>
      <w:sz w:val="24"/>
      <w:szCs w:val="20"/>
      <w:lang w:bidi="ar-SA" w:eastAsia="ar-SA" w:val="en-US"/>
    </w:rPr>
  </w:style>
  <w:style w:styleId="style1" w:type="paragraph">
    <w:name w:val="Heading 1"/>
    <w:basedOn w:val="style0"/>
    <w:next w:val="style1"/>
    <w:pPr>
      <w:keepNext/>
      <w:tabs>
        <w:tab w:leader="none" w:pos="-1440" w:val="left"/>
        <w:tab w:leader="none" w:pos="-720" w:val="left"/>
        <w:tab w:leader="none" w:pos="129" w:val="left"/>
        <w:tab w:leader="none" w:pos="3571" w:val="left"/>
        <w:tab w:leader="none" w:pos="4867" w:val="left"/>
        <w:tab w:leader="none" w:pos="8395" w:val="left"/>
        <w:tab w:leader="none" w:pos="8812" w:val="left"/>
      </w:tabs>
      <w:spacing w:line="264" w:lineRule="auto"/>
    </w:pPr>
    <w:rPr>
      <w:b/>
      <w:sz w:val="20"/>
    </w:rPr>
  </w:style>
  <w:style w:styleId="style2" w:type="paragraph">
    <w:name w:val="Heading 2"/>
    <w:basedOn w:val="style0"/>
    <w:next w:val="style2"/>
    <w:pPr>
      <w:keepNext/>
      <w:tabs>
        <w:tab w:leader="none" w:pos="-1440" w:val="left"/>
        <w:tab w:leader="none" w:pos="-720" w:val="left"/>
        <w:tab w:leader="none" w:pos="444" w:val="left"/>
      </w:tabs>
      <w:jc w:val="both"/>
    </w:pPr>
    <w:rPr>
      <w:i/>
    </w:rPr>
  </w:style>
  <w:style w:styleId="style3" w:type="paragraph">
    <w:name w:val="Heading 3"/>
    <w:basedOn w:val="style0"/>
    <w:next w:val="style3"/>
    <w:pPr>
      <w:keepNext/>
      <w:widowControl/>
      <w:tabs>
        <w:tab w:leader="none" w:pos="4680" w:val="center"/>
      </w:tabs>
      <w:jc w:val="center"/>
    </w:pPr>
    <w:rPr>
      <w:rFonts w:ascii="CG Times" w:hAnsi="CG Times"/>
      <w:b/>
      <w:color w:val="000000"/>
    </w:rPr>
  </w:style>
  <w:style w:styleId="style15" w:type="character">
    <w:name w:val="Default Paragraph Font"/>
    <w:next w:val="style15"/>
    <w:rPr/>
  </w:style>
  <w:style w:styleId="style16" w:type="character">
    <w:name w:val="WW8Num5z0"/>
    <w:next w:val="style16"/>
    <w:rPr>
      <w:rFonts w:ascii="Times New Roman" w:hAnsi="Times New Roman"/>
      <w:b w:val="false"/>
      <w:i w:val="false"/>
      <w:caps w:val="false"/>
      <w:smallCaps w:val="false"/>
      <w:strike w:val="false"/>
      <w:dstrike w:val="false"/>
      <w:vanish w:val="false"/>
      <w:color w:val="000000"/>
      <w:sz w:val="20"/>
      <w:szCs w:val="20"/>
      <w:vertAlign w:val="superscript"/>
    </w:rPr>
  </w:style>
  <w:style w:styleId="style17" w:type="character">
    <w:name w:val="WW8Num8z0"/>
    <w:next w:val="style17"/>
    <w:rPr>
      <w:rFonts w:ascii="Times New Roman" w:hAnsi="Times New Roman"/>
      <w:b w:val="false"/>
      <w:i w:val="false"/>
      <w:caps w:val="false"/>
      <w:smallCaps w:val="false"/>
      <w:strike w:val="false"/>
      <w:dstrike w:val="false"/>
      <w:vanish w:val="false"/>
      <w:color w:val="000000"/>
      <w:sz w:val="20"/>
      <w:szCs w:val="20"/>
      <w:vertAlign w:val="superscript"/>
    </w:rPr>
  </w:style>
  <w:style w:styleId="style18" w:type="character">
    <w:name w:val="Internet Link"/>
    <w:basedOn w:val="style15"/>
    <w:next w:val="style18"/>
    <w:rPr>
      <w:color w:val="0000FF"/>
      <w:u w:val="single"/>
      <w:lang w:bidi="zxx-" w:eastAsia="zxx-" w:val="zxx-"/>
    </w:rPr>
  </w:style>
  <w:style w:styleId="style19" w:type="paragraph">
    <w:name w:val="Heading"/>
    <w:basedOn w:val="style0"/>
    <w:next w:val="style20"/>
    <w:pPr>
      <w:keepNext/>
      <w:spacing w:after="120" w:before="240"/>
      <w:contextualSpacing w:val="false"/>
    </w:pPr>
    <w:rPr>
      <w:rFonts w:ascii="Liberation Sans" w:cs="Lohit Devanagari" w:eastAsia="DejaVu Sans" w:hAnsi="Liberation Sans"/>
      <w:sz w:val="28"/>
      <w:szCs w:val="28"/>
    </w:rPr>
  </w:style>
  <w:style w:styleId="style20" w:type="paragraph">
    <w:name w:val="Text Body"/>
    <w:basedOn w:val="style0"/>
    <w:next w:val="style20"/>
    <w:pPr>
      <w:spacing w:after="120" w:before="0"/>
      <w:contextualSpacing w:val="false"/>
    </w:pPr>
    <w:rPr/>
  </w:style>
  <w:style w:styleId="style21" w:type="paragraph">
    <w:name w:val="List"/>
    <w:basedOn w:val="style20"/>
    <w:next w:val="style21"/>
    <w:pPr/>
    <w:rPr>
      <w:rFonts w:cs="Lohit Devanagari"/>
    </w:rPr>
  </w:style>
  <w:style w:styleId="style22" w:type="paragraph">
    <w:name w:val="Caption"/>
    <w:basedOn w:val="style0"/>
    <w:next w:val="style22"/>
    <w:pPr>
      <w:suppressLineNumbers/>
      <w:spacing w:after="120" w:before="120"/>
      <w:contextualSpacing w:val="false"/>
    </w:pPr>
    <w:rPr>
      <w:rFonts w:cs="Lohit Devanagari"/>
      <w:i/>
      <w:iCs/>
      <w:sz w:val="24"/>
      <w:szCs w:val="24"/>
    </w:rPr>
  </w:style>
  <w:style w:styleId="style23" w:type="paragraph">
    <w:name w:val="Index"/>
    <w:basedOn w:val="style0"/>
    <w:next w:val="style23"/>
    <w:pPr>
      <w:suppressLineNumbers/>
    </w:pPr>
    <w:rPr>
      <w:rFonts w:cs="Lohit Devanagari"/>
    </w:rPr>
  </w:style>
  <w:style w:styleId="style24" w:type="paragraph">
    <w:name w:val="caption"/>
    <w:basedOn w:val="style0"/>
    <w:next w:val="style24"/>
    <w:pPr>
      <w:suppressLineNumbers/>
      <w:spacing w:after="120" w:before="120"/>
      <w:contextualSpacing w:val="false"/>
    </w:pPr>
    <w:rPr>
      <w:rFonts w:cs="Lohit Devanagari"/>
      <w:i/>
      <w:iCs/>
      <w:sz w:val="24"/>
      <w:szCs w:val="24"/>
    </w:rPr>
  </w:style>
  <w:style w:styleId="style25" w:type="paragraph">
    <w:name w:val="Balloon Text"/>
    <w:basedOn w:val="style0"/>
    <w:next w:val="style25"/>
    <w:pPr/>
    <w:rPr>
      <w:rFonts w:ascii="Tahoma" w:cs="Tahoma" w:hAnsi="Tahoma"/>
      <w:sz w:val="16"/>
      <w:szCs w:val="16"/>
    </w:rPr>
  </w:style>
  <w:style w:styleId="style26" w:type="paragraph">
    <w:name w:val="Header"/>
    <w:basedOn w:val="style0"/>
    <w:next w:val="style26"/>
    <w:pPr>
      <w:tabs>
        <w:tab w:leader="none" w:pos="4153" w:val="center"/>
        <w:tab w:leader="none" w:pos="8306" w:val="right"/>
      </w:tabs>
    </w:pPr>
    <w:rPr/>
  </w:style>
  <w:style w:styleId="style27" w:type="paragraph">
    <w:name w:val="Footer"/>
    <w:basedOn w:val="style0"/>
    <w:next w:val="style27"/>
    <w:pPr>
      <w:tabs>
        <w:tab w:leader="none" w:pos="4153" w:val="center"/>
        <w:tab w:leader="none" w:pos="8306" w:val="right"/>
      </w:tabs>
    </w:pPr>
    <w:rPr/>
  </w:style>
  <w:style w:styleId="style28" w:type="paragraph">
    <w:name w:val="Table Contents"/>
    <w:basedOn w:val="style0"/>
    <w:next w:val="style28"/>
    <w:pPr>
      <w:suppressLineNumbers/>
    </w:pPr>
    <w:rPr/>
  </w:style>
  <w:style w:styleId="style29" w:type="paragraph">
    <w:name w:val="Table Heading"/>
    <w:basedOn w:val="style28"/>
    <w:next w:val="style29"/>
    <w:pPr>
      <w:jc w:val="center"/>
    </w:pPr>
    <w:rPr>
      <w:b/>
      <w:bCs/>
    </w:rPr>
  </w:style>
  <w:style w:styleId="style30" w:type="paragraph">
    <w:name w:val="Text Body Indent"/>
    <w:basedOn w:val="style20"/>
    <w:next w:val="style30"/>
    <w:pPr>
      <w:ind w:hanging="0" w:left="283" w:right="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iupac.pole-ether.fr/" TargetMode="External"/><Relationship Id="rId3" Type="http://schemas.openxmlformats.org/officeDocument/2006/relationships/hyperlink" Target="http://iupac.pole-ether.fr/" TargetMode="External"/><Relationship Id="rId4" Type="http://schemas.openxmlformats.org/officeDocument/2006/relationships/hyperlink" Target="http://iupac.pole-ether.fr/"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2014-06-09T21:01:00.00Z</dcterms:created>
  <dc:creator>Roger Atkinson</dc:creator>
  <cp:lastModifiedBy>Wallington, Timothy (T.J.)</cp:lastModifiedBy>
  <cp:lastPrinted>2003-06-27T13:52:00.00Z</cp:lastPrinted>
  <dcterms:modified xsi:type="dcterms:W3CDTF">2014-06-10T00:48:00.00Z</dcterms:modified>
  <cp:revision>3</cp:revision>
  <dc:title>IUPAC Task Group on Atmospheric Chemical Kinetic Data Evaluation – Data Sheet IV.A2.89 oClOx15</dc:title>
</cp:coreProperties>
</file>