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0"/>
        <w:ind w:hanging="0" w:left="146" w:right="0"/>
      </w:pPr>
      <w:r>
        <w:rPr>
          <w:rFonts w:ascii="Times New Roman" w:hAnsi="Times New Roman"/>
          <w:b/>
          <w:bCs/>
          <w:sz w:val="24"/>
          <w:szCs w:val="24"/>
        </w:rPr>
        <w:t>Task Group on Atmospheric Chemical Kinetic Data Evaluation – Data Sheet IV.A2.88</w:t>
      </w:r>
      <w:r>
        <w:rPr>
          <w:b/>
          <w:bCs/>
          <w:sz w:val="24"/>
          <w:szCs w:val="24"/>
        </w:rPr>
        <w:t xml:space="preserve"> </w:t>
      </w:r>
    </w:p>
    <w:p>
      <w:pPr>
        <w:pStyle w:val="style0"/>
        <w:ind w:hanging="0" w:left="178" w:right="397"/>
        <w:jc w:val="both"/>
      </w:pPr>
      <w:r>
        <w:rPr>
          <w:rFonts w:ascii="Times New Roman" w:hAnsi="Times New Roman"/>
          <w:sz w:val="24"/>
          <w:szCs w:val="24"/>
        </w:rPr>
        <w:t xml:space="preserve">Website: </w:t>
      </w:r>
      <w:hyperlink r:id="rId2">
        <w:r>
          <w:rPr>
            <w:rStyle w:val="style21"/>
            <w:rStyle w:val="style21"/>
            <w:rFonts w:ascii="Times New Roman" w:hAnsi="Times New Roman"/>
            <w:sz w:val="24"/>
            <w:szCs w:val="24"/>
          </w:rPr>
          <w:t>http://iupac.pole-ether.fr</w:t>
        </w:r>
      </w:hyperlink>
      <w:r>
        <w:rPr>
          <w:rFonts w:ascii="Times New Roman" w:hAnsi="Times New Roman"/>
          <w:sz w:val="24"/>
          <w:szCs w:val="24"/>
        </w:rPr>
        <w:t xml:space="preserve">. See website for latest evaluated data. Data sheets can be downloaded for personal use only and must not be retransmitted or disseminated either electronically or in hardcopy without explicit written permission. The citation for this data sheet is: </w:t>
      </w:r>
      <w:r>
        <w:rPr>
          <w:rFonts w:ascii="Times New Roman" w:hAnsi="Times New Roman"/>
          <w:spacing w:val="-3"/>
          <w:sz w:val="24"/>
          <w:szCs w:val="24"/>
          <w:lang w:val="en-US"/>
        </w:rPr>
        <w:t xml:space="preserve">Atkinson, R., Baulch, D. L., Cox, R. A., Crowley, J. N., Hampson, R. F., Hynes, R. G., Jenkin, M. E., Rossi, M. J., Troe, J., and Wallington, T. J.: Atmos. Chem. Phys., 8, 4141, 2008; IUPAC Task Group on Atmospheric Chemical Kinetic Data Evaluation, </w:t>
      </w:r>
      <w:hyperlink r:id="rId3">
        <w:r>
          <w:rPr>
            <w:rStyle w:val="style21"/>
            <w:rStyle w:val="style21"/>
            <w:rFonts w:ascii="Times New Roman" w:hAnsi="Times New Roman"/>
            <w:sz w:val="24"/>
            <w:szCs w:val="24"/>
          </w:rPr>
          <w:t>http://iupac.pole-ether.fr</w:t>
        </w:r>
      </w:hyperlink>
      <w:r>
        <w:rPr>
          <w:rFonts w:ascii="Times New Roman" w:hAnsi="Times New Roman"/>
          <w:sz w:val="24"/>
          <w:szCs w:val="24"/>
        </w:rPr>
        <w:t xml:space="preserve">. </w:t>
      </w:r>
    </w:p>
    <w:p>
      <w:pPr>
        <w:pStyle w:val="style0"/>
        <w:ind w:hanging="0" w:left="178" w:right="250"/>
        <w:jc w:val="both"/>
      </w:pPr>
      <w:r>
        <w:rPr>
          <w:rFonts w:ascii="Times New Roman" w:hAnsi="Times New Roman"/>
          <w:sz w:val="24"/>
          <w:szCs w:val="24"/>
        </w:rPr>
        <w:t>This data sheet last evaluated: June 2014</w:t>
      </w:r>
      <w:bookmarkStart w:id="0" w:name="_GoBack"/>
      <w:bookmarkEnd w:id="0"/>
      <w:r>
        <w:rPr>
          <w:rFonts w:ascii="Times New Roman" w:hAnsi="Times New Roman"/>
          <w:sz w:val="24"/>
          <w:szCs w:val="24"/>
        </w:rPr>
        <w:t>; last change in preferred values: December 2007.</w:t>
      </w:r>
    </w:p>
    <w:p>
      <w:pPr>
        <w:pStyle w:val="style0"/>
        <w:jc w:val="center"/>
      </w:pPr>
      <w:r>
        <w:rPr/>
        <w:pict>
          <v:line from="-49.6pt,11.4pt" id="shape_0" style="position:absolute" to="545.45pt,11.4pt">
            <v:stroke color="black" endcap="flat" joinstyle="miter" weight="9360"/>
            <v:fill detectmouseclick="t"/>
          </v:line>
        </w:pict>
      </w:r>
    </w:p>
    <w:p>
      <w:pPr>
        <w:pStyle w:val="style0"/>
        <w:tabs>
          <w:tab w:leader="none" w:pos="4680" w:val="center"/>
        </w:tabs>
        <w:spacing w:line="240" w:lineRule="atLeast"/>
        <w:jc w:val="center"/>
      </w:pPr>
      <w:r>
        <w:rPr/>
      </w:r>
    </w:p>
    <w:p>
      <w:pPr>
        <w:pStyle w:val="style0"/>
        <w:tabs>
          <w:tab w:leader="none" w:pos="4680" w:val="center"/>
        </w:tabs>
        <w:spacing w:line="240" w:lineRule="atLeast"/>
        <w:jc w:val="center"/>
      </w:pPr>
      <w:r>
        <w:rPr>
          <w:b/>
          <w:spacing w:val="-3"/>
          <w:sz w:val="24"/>
          <w:lang w:val="pt-BR"/>
        </w:rPr>
        <w:t xml:space="preserve">Cl + HC(O)Cl </w:t>
      </w:r>
      <w:r>
        <w:rPr>
          <w:rFonts w:ascii="Symbol" w:hAnsi="Symbol"/>
          <w:b/>
          <w:spacing w:val="-3"/>
          <w:sz w:val="24"/>
          <w:lang w:val="en-US"/>
        </w:rPr>
        <w:t></w:t>
      </w:r>
      <w:r>
        <w:rPr>
          <w:b/>
          <w:spacing w:val="-3"/>
          <w:sz w:val="24"/>
          <w:lang w:val="pt-BR"/>
        </w:rPr>
        <w:t xml:space="preserve"> HCl + ClCO</w:t>
      </w:r>
    </w:p>
    <w:p>
      <w:pPr>
        <w:pStyle w:val="style0"/>
        <w:tabs>
          <w:tab w:leader="none" w:pos="0" w:val="left"/>
          <w:tab w:leader="none" w:pos="288" w:val="left"/>
          <w:tab w:leader="none" w:pos="720" w:val="left"/>
        </w:tabs>
        <w:spacing w:line="240" w:lineRule="atLeast"/>
        <w:jc w:val="both"/>
      </w:pPr>
      <w:r>
        <w:rPr/>
      </w:r>
    </w:p>
    <w:p>
      <w:pPr>
        <w:pStyle w:val="style0"/>
        <w:tabs>
          <w:tab w:leader="none" w:pos="4680" w:val="center"/>
        </w:tabs>
        <w:spacing w:line="240" w:lineRule="atLeast"/>
        <w:jc w:val="center"/>
      </w:pPr>
      <w:r>
        <w:rPr>
          <w:b/>
          <w:spacing w:val="-3"/>
          <w:sz w:val="24"/>
          <w:lang w:val="en-US"/>
        </w:rPr>
        <w:t>Rate coefficient data</w:t>
      </w:r>
    </w:p>
    <w:p>
      <w:pPr>
        <w:pStyle w:val="style0"/>
        <w:tabs>
          <w:tab w:leader="none" w:pos="0" w:val="left"/>
          <w:tab w:leader="none" w:pos="288" w:val="left"/>
          <w:tab w:leader="none" w:pos="720" w:val="left"/>
        </w:tabs>
        <w:spacing w:line="240" w:lineRule="atLeast"/>
        <w:jc w:val="both"/>
      </w:pPr>
      <w:r>
        <w:rPr/>
      </w:r>
    </w:p>
    <w:tbl>
      <w:tblPr>
        <w:jc w:val="left"/>
        <w:tblInd w:type="dxa" w:w="827"/>
        <w:tblBorders>
          <w:top w:color="000001" w:space="0" w:sz="2" w:val="doub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2473"/>
        <w:gridCol w:w="1065"/>
        <w:gridCol w:w="2752"/>
        <w:gridCol w:w="2201"/>
      </w:tblGrid>
      <w:tr>
        <w:trPr>
          <w:cantSplit w:val="false"/>
        </w:trPr>
        <w:tc>
          <w:tcPr>
            <w:tcW w:type="dxa" w:w="2473"/>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i/>
                <w:spacing w:val="-2"/>
                <w:lang w:val="en-US"/>
              </w:rPr>
              <w:t>k</w:t>
            </w:r>
            <w:r>
              <w:rPr>
                <w:spacing w:val="-2"/>
                <w:lang w:val="en-US"/>
              </w:rPr>
              <w:t>/cm</w:t>
            </w:r>
            <w:r>
              <w:rPr>
                <w:spacing w:val="-2"/>
                <w:vertAlign w:val="superscript"/>
                <w:lang w:val="en-US"/>
              </w:rPr>
              <w:t>3</w:t>
            </w:r>
            <w:r>
              <w:rPr>
                <w:spacing w:val="-2"/>
                <w:lang w:val="en-US"/>
              </w:rPr>
              <w:t xml:space="preserve"> molecule</w:t>
            </w:r>
            <w:r>
              <w:rPr>
                <w:spacing w:val="-2"/>
                <w:vertAlign w:val="superscript"/>
                <w:lang w:val="en-US"/>
              </w:rPr>
              <w:t>-1</w:t>
            </w:r>
            <w:r>
              <w:rPr>
                <w:spacing w:val="-2"/>
                <w:lang w:val="en-US"/>
              </w:rPr>
              <w:t xml:space="preserve"> s</w:t>
            </w:r>
            <w:r>
              <w:rPr>
                <w:spacing w:val="-2"/>
                <w:vertAlign w:val="superscript"/>
                <w:lang w:val="en-US"/>
              </w:rPr>
              <w:t>-1</w:t>
            </w:r>
            <w:r>
              <w:rPr>
                <w:spacing w:val="-2"/>
                <w:lang w:val="en-US"/>
              </w:rPr>
              <w:t xml:space="preserve"> </w:t>
            </w:r>
          </w:p>
        </w:tc>
        <w:tc>
          <w:tcPr>
            <w:tcW w:type="dxa" w:w="1065"/>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Temp./K</w:t>
            </w:r>
          </w:p>
        </w:tc>
        <w:tc>
          <w:tcPr>
            <w:tcW w:type="dxa" w:w="2752"/>
            <w:tcBorders>
              <w:top w:color="000001" w:space="0" w:sz="2" w:val="double"/>
              <w:left w:val="none"/>
              <w:bottom w:color="000001" w:space="0" w:sz="4" w:val="single"/>
              <w:right w:val="none"/>
            </w:tcBorders>
            <w:shd w:fill="FFFFFF" w:val="clear"/>
          </w:tcPr>
          <w:p>
            <w:pPr>
              <w:pStyle w:val="style2"/>
              <w:numPr>
                <w:ilvl w:val="1"/>
                <w:numId w:val="1"/>
              </w:numPr>
              <w:spacing w:after="120" w:before="120"/>
              <w:contextualSpacing w:val="false"/>
            </w:pPr>
            <w:r>
              <w:rPr>
                <w:sz w:val="20"/>
              </w:rPr>
              <w:t>Reference</w:t>
            </w:r>
          </w:p>
        </w:tc>
        <w:tc>
          <w:tcPr>
            <w:tcW w:type="dxa" w:w="2201"/>
            <w:tcBorders>
              <w:top w:color="000001" w:space="0" w:sz="2" w:val="double"/>
              <w:left w:val="none"/>
              <w:bottom w:color="000001" w:space="0" w:sz="4" w:val="single"/>
              <w:right w:val="none"/>
            </w:tcBorders>
            <w:shd w:fill="FFFFFF" w:val="clear"/>
          </w:tcPr>
          <w:p>
            <w:pPr>
              <w:pStyle w:val="style0"/>
              <w:spacing w:after="120" w:before="120" w:line="264" w:lineRule="auto"/>
              <w:contextualSpacing w:val="false"/>
              <w:jc w:val="both"/>
            </w:pPr>
            <w:r>
              <w:rPr>
                <w:spacing w:val="-2"/>
                <w:lang w:val="en-US"/>
              </w:rPr>
              <w:t>Technique/ Comments</w:t>
            </w:r>
          </w:p>
        </w:tc>
      </w:tr>
      <w:tr>
        <w:trPr>
          <w:cantSplit w:val="false"/>
        </w:trPr>
        <w:tc>
          <w:tcPr>
            <w:tcW w:type="dxa" w:w="2473"/>
            <w:tcBorders>
              <w:top w:val="none"/>
              <w:left w:val="none"/>
              <w:bottom w:val="none"/>
              <w:right w:val="none"/>
            </w:tcBorders>
            <w:shd w:fill="FFFFFF" w:val="clear"/>
          </w:tcPr>
          <w:p>
            <w:pPr>
              <w:pStyle w:val="style0"/>
              <w:spacing w:after="0" w:before="120" w:line="264" w:lineRule="auto"/>
              <w:contextualSpacing w:val="false"/>
              <w:jc w:val="both"/>
            </w:pPr>
            <w:r>
              <w:rPr>
                <w:i/>
                <w:spacing w:val="-2"/>
                <w:lang w:val="en-US"/>
              </w:rPr>
              <w:t>Relative Rate Coefficients</w:t>
            </w:r>
          </w:p>
        </w:tc>
        <w:tc>
          <w:tcPr>
            <w:tcW w:type="dxa" w:w="1065"/>
            <w:tcBorders>
              <w:top w:val="none"/>
              <w:left w:val="none"/>
              <w:bottom w:val="none"/>
              <w:right w:val="none"/>
            </w:tcBorders>
            <w:shd w:fill="FFFFFF" w:val="clear"/>
          </w:tcPr>
          <w:p>
            <w:pPr>
              <w:pStyle w:val="style0"/>
              <w:spacing w:after="0" w:before="120" w:line="264" w:lineRule="auto"/>
              <w:contextualSpacing w:val="false"/>
              <w:jc w:val="both"/>
            </w:pPr>
            <w:r>
              <w:rPr/>
            </w:r>
          </w:p>
        </w:tc>
        <w:tc>
          <w:tcPr>
            <w:tcW w:type="dxa" w:w="2752"/>
            <w:tcBorders>
              <w:top w:val="none"/>
              <w:left w:val="none"/>
              <w:bottom w:val="none"/>
              <w:right w:val="none"/>
            </w:tcBorders>
            <w:shd w:fill="FFFFFF" w:val="clear"/>
          </w:tcPr>
          <w:p>
            <w:pPr>
              <w:pStyle w:val="style0"/>
              <w:spacing w:after="0" w:before="120" w:line="264" w:lineRule="auto"/>
              <w:contextualSpacing w:val="false"/>
            </w:pPr>
            <w:r>
              <w:rPr/>
            </w:r>
          </w:p>
        </w:tc>
        <w:tc>
          <w:tcPr>
            <w:tcW w:type="dxa" w:w="2201"/>
            <w:tcBorders>
              <w:top w:val="none"/>
              <w:left w:val="none"/>
              <w:bottom w:val="none"/>
              <w:right w:val="none"/>
            </w:tcBorders>
            <w:shd w:fill="FFFFFF" w:val="clear"/>
          </w:tcPr>
          <w:p>
            <w:pPr>
              <w:pStyle w:val="style0"/>
              <w:spacing w:after="0" w:before="120" w:line="264" w:lineRule="auto"/>
              <w:contextualSpacing w:val="false"/>
              <w:jc w:val="center"/>
            </w:pPr>
            <w:r>
              <w:rPr/>
            </w:r>
          </w:p>
        </w:tc>
      </w:tr>
      <w:tr>
        <w:trPr>
          <w:cantSplit w:val="false"/>
        </w:trPr>
        <w:tc>
          <w:tcPr>
            <w:tcW w:type="dxa" w:w="2473"/>
            <w:tcBorders>
              <w:top w:val="none"/>
              <w:left w:val="none"/>
              <w:bottom w:val="none"/>
              <w:right w:val="none"/>
            </w:tcBorders>
            <w:shd w:fill="FFFFFF" w:val="clear"/>
          </w:tcPr>
          <w:p>
            <w:pPr>
              <w:pStyle w:val="style0"/>
              <w:spacing w:line="263" w:lineRule="atLeast"/>
              <w:jc w:val="both"/>
            </w:pPr>
            <w:r>
              <w:rPr>
                <w:spacing w:val="-2"/>
                <w:lang w:val="en-US"/>
              </w:rPr>
              <w:t>7.4 x 10</w:t>
            </w:r>
            <w:r>
              <w:rPr>
                <w:spacing w:val="-2"/>
                <w:vertAlign w:val="superscript"/>
                <w:lang w:val="en-US"/>
              </w:rPr>
              <w:t>-13</w:t>
            </w:r>
          </w:p>
        </w:tc>
        <w:tc>
          <w:tcPr>
            <w:tcW w:type="dxa" w:w="1065"/>
            <w:tcBorders>
              <w:top w:val="none"/>
              <w:left w:val="none"/>
              <w:bottom w:val="none"/>
              <w:right w:val="none"/>
            </w:tcBorders>
            <w:shd w:fill="FFFFFF" w:val="clear"/>
          </w:tcPr>
          <w:p>
            <w:pPr>
              <w:pStyle w:val="style0"/>
              <w:spacing w:line="263" w:lineRule="atLeast"/>
              <w:jc w:val="both"/>
            </w:pPr>
            <w:r>
              <w:rPr>
                <w:spacing w:val="-2"/>
                <w:lang w:val="en-US"/>
              </w:rPr>
              <w:t>305</w:t>
            </w:r>
          </w:p>
        </w:tc>
        <w:tc>
          <w:tcPr>
            <w:tcW w:type="dxa" w:w="2752"/>
            <w:tcBorders>
              <w:top w:val="none"/>
              <w:left w:val="none"/>
              <w:bottom w:val="none"/>
              <w:right w:val="none"/>
            </w:tcBorders>
            <w:shd w:fill="FFFFFF" w:val="clear"/>
          </w:tcPr>
          <w:p>
            <w:pPr>
              <w:pStyle w:val="style0"/>
              <w:spacing w:line="263" w:lineRule="atLeast"/>
              <w:jc w:val="both"/>
            </w:pPr>
            <w:r>
              <w:rPr>
                <w:spacing w:val="-2"/>
                <w:lang w:val="en-US"/>
              </w:rPr>
              <w:t>Sanhueza and Heicklen, 1975</w:t>
            </w:r>
          </w:p>
        </w:tc>
        <w:tc>
          <w:tcPr>
            <w:tcW w:type="dxa" w:w="2201"/>
            <w:tcBorders>
              <w:top w:val="none"/>
              <w:left w:val="none"/>
              <w:bottom w:val="none"/>
              <w:right w:val="none"/>
            </w:tcBorders>
            <w:shd w:fill="FFFFFF" w:val="clear"/>
          </w:tcPr>
          <w:p>
            <w:pPr>
              <w:pStyle w:val="style0"/>
              <w:spacing w:line="263" w:lineRule="atLeast"/>
              <w:jc w:val="center"/>
            </w:pPr>
            <w:r>
              <w:rPr>
                <w:spacing w:val="-2"/>
                <w:lang w:val="en-US"/>
              </w:rPr>
              <w:t>RR (a)</w:t>
            </w:r>
          </w:p>
        </w:tc>
      </w:tr>
      <w:tr>
        <w:trPr>
          <w:cantSplit w:val="false"/>
        </w:trPr>
        <w:tc>
          <w:tcPr>
            <w:tcW w:type="dxa" w:w="2473"/>
            <w:tcBorders>
              <w:top w:val="none"/>
              <w:left w:val="none"/>
              <w:bottom w:val="none"/>
              <w:right w:val="none"/>
            </w:tcBorders>
            <w:shd w:fill="FFFFFF" w:val="clear"/>
          </w:tcPr>
          <w:p>
            <w:pPr>
              <w:pStyle w:val="style0"/>
              <w:spacing w:line="263" w:lineRule="atLeast"/>
              <w:jc w:val="both"/>
            </w:pPr>
            <w:r>
              <w:rPr>
                <w:spacing w:val="-2"/>
                <w:lang w:val="en-US"/>
              </w:rPr>
              <w:t xml:space="preserve">(7.7 </w:t>
            </w:r>
            <w:r>
              <w:rPr>
                <w:rFonts w:ascii="Symbol" w:hAnsi="Symbol"/>
                <w:spacing w:val="-2"/>
                <w:lang w:val="en-US"/>
              </w:rPr>
              <w:t></w:t>
            </w:r>
            <w:r>
              <w:rPr>
                <w:spacing w:val="-2"/>
                <w:lang w:val="en-US"/>
              </w:rPr>
              <w:t xml:space="preserve"> 1.0) x 10</w:t>
            </w:r>
            <w:r>
              <w:rPr>
                <w:spacing w:val="-2"/>
                <w:vertAlign w:val="superscript"/>
                <w:lang w:val="en-US"/>
              </w:rPr>
              <w:t>-13</w:t>
            </w:r>
          </w:p>
        </w:tc>
        <w:tc>
          <w:tcPr>
            <w:tcW w:type="dxa" w:w="1065"/>
            <w:tcBorders>
              <w:top w:val="none"/>
              <w:left w:val="none"/>
              <w:bottom w:val="none"/>
              <w:right w:val="none"/>
            </w:tcBorders>
            <w:shd w:fill="FFFFFF" w:val="clear"/>
          </w:tcPr>
          <w:p>
            <w:pPr>
              <w:pStyle w:val="style0"/>
              <w:spacing w:line="263" w:lineRule="atLeast"/>
              <w:jc w:val="both"/>
            </w:pPr>
            <w:r>
              <w:rPr>
                <w:spacing w:val="-2"/>
                <w:lang w:val="en-US"/>
              </w:rPr>
              <w:t xml:space="preserve">298 </w:t>
            </w:r>
            <w:r>
              <w:rPr>
                <w:rFonts w:ascii="Symbol" w:hAnsi="Symbol"/>
                <w:spacing w:val="-2"/>
                <w:lang w:val="en-US"/>
              </w:rPr>
              <w:t></w:t>
            </w:r>
            <w:r>
              <w:rPr>
                <w:spacing w:val="-2"/>
                <w:lang w:val="en-US"/>
              </w:rPr>
              <w:t xml:space="preserve"> 2</w:t>
            </w:r>
          </w:p>
        </w:tc>
        <w:tc>
          <w:tcPr>
            <w:tcW w:type="dxa" w:w="2752"/>
            <w:tcBorders>
              <w:top w:val="none"/>
              <w:left w:val="none"/>
              <w:bottom w:val="none"/>
              <w:right w:val="none"/>
            </w:tcBorders>
            <w:shd w:fill="FFFFFF" w:val="clear"/>
          </w:tcPr>
          <w:p>
            <w:pPr>
              <w:pStyle w:val="style0"/>
              <w:spacing w:line="263" w:lineRule="atLeast"/>
              <w:jc w:val="both"/>
            </w:pPr>
            <w:r>
              <w:rPr>
                <w:spacing w:val="-2"/>
                <w:lang w:val="en-US"/>
              </w:rPr>
              <w:t>Niki et al., 1980</w:t>
            </w:r>
          </w:p>
        </w:tc>
        <w:tc>
          <w:tcPr>
            <w:tcW w:type="dxa" w:w="2201"/>
            <w:tcBorders>
              <w:top w:val="none"/>
              <w:left w:val="none"/>
              <w:bottom w:val="none"/>
              <w:right w:val="none"/>
            </w:tcBorders>
            <w:shd w:fill="FFFFFF" w:val="clear"/>
          </w:tcPr>
          <w:p>
            <w:pPr>
              <w:pStyle w:val="style0"/>
              <w:spacing w:line="263" w:lineRule="atLeast"/>
              <w:jc w:val="center"/>
            </w:pPr>
            <w:r>
              <w:rPr>
                <w:spacing w:val="-2"/>
                <w:lang w:val="en-US"/>
              </w:rPr>
              <w:t>RR (b)</w:t>
            </w:r>
          </w:p>
        </w:tc>
      </w:tr>
      <w:tr>
        <w:trPr>
          <w:cantSplit w:val="false"/>
        </w:trPr>
        <w:tc>
          <w:tcPr>
            <w:tcW w:type="dxa" w:w="2473"/>
            <w:tcBorders>
              <w:top w:val="none"/>
              <w:left w:val="none"/>
              <w:bottom w:val="none"/>
              <w:right w:val="none"/>
            </w:tcBorders>
            <w:shd w:fill="FFFFFF" w:val="clear"/>
          </w:tcPr>
          <w:p>
            <w:pPr>
              <w:pStyle w:val="style0"/>
              <w:spacing w:line="263" w:lineRule="atLeast"/>
              <w:jc w:val="both"/>
            </w:pPr>
            <w:r>
              <w:rPr>
                <w:spacing w:val="-2"/>
                <w:lang w:val="en-US"/>
              </w:rPr>
              <w:t>8.2 x 10</w:t>
            </w:r>
            <w:r>
              <w:rPr>
                <w:spacing w:val="-2"/>
                <w:vertAlign w:val="superscript"/>
                <w:lang w:val="en-US"/>
              </w:rPr>
              <w:t>-12</w:t>
            </w:r>
            <w:r>
              <w:rPr>
                <w:spacing w:val="-2"/>
                <w:lang w:val="en-US"/>
              </w:rPr>
              <w:t xml:space="preserve"> exp(-705/</w:t>
            </w:r>
            <w:r>
              <w:rPr>
                <w:i/>
                <w:spacing w:val="-2"/>
                <w:lang w:val="en-US"/>
              </w:rPr>
              <w:t>T</w:t>
            </w:r>
            <w:r>
              <w:rPr>
                <w:spacing w:val="-2"/>
                <w:lang w:val="en-US"/>
              </w:rPr>
              <w:t>)</w:t>
            </w:r>
          </w:p>
        </w:tc>
        <w:tc>
          <w:tcPr>
            <w:tcW w:type="dxa" w:w="1065"/>
            <w:tcBorders>
              <w:top w:val="none"/>
              <w:left w:val="none"/>
              <w:bottom w:val="none"/>
              <w:right w:val="none"/>
            </w:tcBorders>
            <w:shd w:fill="FFFFFF" w:val="clear"/>
          </w:tcPr>
          <w:p>
            <w:pPr>
              <w:pStyle w:val="style0"/>
              <w:spacing w:line="263" w:lineRule="atLeast"/>
              <w:jc w:val="both"/>
            </w:pPr>
            <w:r>
              <w:rPr>
                <w:spacing w:val="-2"/>
                <w:lang w:val="en-US"/>
              </w:rPr>
              <w:t>266-321</w:t>
            </w:r>
          </w:p>
        </w:tc>
        <w:tc>
          <w:tcPr>
            <w:tcW w:type="dxa" w:w="2752"/>
            <w:tcBorders>
              <w:top w:val="none"/>
              <w:left w:val="none"/>
              <w:bottom w:val="none"/>
              <w:right w:val="none"/>
            </w:tcBorders>
            <w:shd w:fill="FFFFFF" w:val="clear"/>
          </w:tcPr>
          <w:p>
            <w:pPr>
              <w:pStyle w:val="style0"/>
              <w:spacing w:line="263" w:lineRule="atLeast"/>
              <w:jc w:val="both"/>
            </w:pPr>
            <w:r>
              <w:rPr>
                <w:spacing w:val="-2"/>
                <w:lang w:val="en-US"/>
              </w:rPr>
              <w:t>Libuda et al., 1990</w:t>
            </w:r>
          </w:p>
        </w:tc>
        <w:tc>
          <w:tcPr>
            <w:tcW w:type="dxa" w:w="2201"/>
            <w:tcBorders>
              <w:top w:val="none"/>
              <w:left w:val="none"/>
              <w:bottom w:val="none"/>
              <w:right w:val="none"/>
            </w:tcBorders>
            <w:shd w:fill="FFFFFF" w:val="clear"/>
          </w:tcPr>
          <w:p>
            <w:pPr>
              <w:pStyle w:val="style0"/>
              <w:spacing w:line="263" w:lineRule="atLeast"/>
              <w:jc w:val="center"/>
            </w:pPr>
            <w:r>
              <w:rPr>
                <w:spacing w:val="-2"/>
                <w:lang w:val="en-US"/>
              </w:rPr>
              <w:t>RR (c)</w:t>
            </w:r>
          </w:p>
        </w:tc>
      </w:tr>
      <w:tr>
        <w:trPr>
          <w:cantSplit w:val="false"/>
        </w:trPr>
        <w:tc>
          <w:tcPr>
            <w:tcW w:type="dxa" w:w="2473"/>
            <w:tcBorders>
              <w:top w:val="none"/>
              <w:left w:val="none"/>
              <w:bottom w:val="none"/>
              <w:right w:val="none"/>
            </w:tcBorders>
            <w:shd w:fill="FFFFFF" w:val="clear"/>
          </w:tcPr>
          <w:p>
            <w:pPr>
              <w:pStyle w:val="style0"/>
              <w:spacing w:line="264" w:lineRule="auto"/>
              <w:jc w:val="both"/>
            </w:pPr>
            <w:r>
              <w:rPr>
                <w:spacing w:val="-2"/>
                <w:lang w:val="en-US"/>
              </w:rPr>
              <w:t>7.7 x 10</w:t>
            </w:r>
            <w:r>
              <w:rPr>
                <w:spacing w:val="-2"/>
                <w:vertAlign w:val="superscript"/>
                <w:lang w:val="en-US"/>
              </w:rPr>
              <w:t>-13</w:t>
            </w:r>
          </w:p>
        </w:tc>
        <w:tc>
          <w:tcPr>
            <w:tcW w:type="dxa" w:w="1065"/>
            <w:tcBorders>
              <w:top w:val="none"/>
              <w:left w:val="none"/>
              <w:bottom w:val="none"/>
              <w:right w:val="none"/>
            </w:tcBorders>
            <w:shd w:fill="FFFFFF" w:val="clear"/>
          </w:tcPr>
          <w:p>
            <w:pPr>
              <w:pStyle w:val="style0"/>
              <w:spacing w:line="264" w:lineRule="auto"/>
              <w:jc w:val="both"/>
            </w:pPr>
            <w:r>
              <w:rPr>
                <w:spacing w:val="-2"/>
                <w:lang w:val="en-US"/>
              </w:rPr>
              <w:t>298</w:t>
            </w:r>
          </w:p>
        </w:tc>
        <w:tc>
          <w:tcPr>
            <w:tcW w:type="dxa" w:w="2752"/>
            <w:tcBorders>
              <w:top w:val="none"/>
              <w:left w:val="none"/>
              <w:bottom w:val="none"/>
              <w:right w:val="none"/>
            </w:tcBorders>
            <w:shd w:fill="FFFFFF" w:val="clear"/>
          </w:tcPr>
          <w:p>
            <w:pPr>
              <w:pStyle w:val="style0"/>
              <w:spacing w:line="264" w:lineRule="auto"/>
              <w:jc w:val="both"/>
            </w:pPr>
            <w:r>
              <w:rPr/>
            </w:r>
          </w:p>
        </w:tc>
        <w:tc>
          <w:tcPr>
            <w:tcW w:type="dxa" w:w="2201"/>
            <w:tcBorders>
              <w:top w:val="none"/>
              <w:left w:val="none"/>
              <w:bottom w:val="none"/>
              <w:right w:val="none"/>
            </w:tcBorders>
            <w:shd w:fill="FFFFFF" w:val="clear"/>
          </w:tcPr>
          <w:p>
            <w:pPr>
              <w:pStyle w:val="style0"/>
              <w:spacing w:line="264" w:lineRule="auto"/>
              <w:jc w:val="center"/>
            </w:pPr>
            <w:r>
              <w:rPr/>
            </w:r>
          </w:p>
        </w:tc>
      </w:tr>
      <w:tr>
        <w:trPr>
          <w:cantSplit w:val="false"/>
        </w:trPr>
        <w:tc>
          <w:tcPr>
            <w:tcW w:type="dxa" w:w="2473"/>
            <w:tcBorders>
              <w:top w:val="none"/>
              <w:left w:val="none"/>
              <w:bottom w:val="none"/>
              <w:right w:val="none"/>
            </w:tcBorders>
            <w:shd w:fill="FFFFFF" w:val="clear"/>
          </w:tcPr>
          <w:p>
            <w:pPr>
              <w:pStyle w:val="style0"/>
              <w:spacing w:line="263" w:lineRule="atLeast"/>
              <w:jc w:val="both"/>
            </w:pPr>
            <w:r>
              <w:rPr>
                <w:spacing w:val="-2"/>
                <w:lang w:val="fr-FR"/>
              </w:rPr>
              <w:t xml:space="preserve">(6.7 </w:t>
            </w:r>
            <w:r>
              <w:rPr>
                <w:rFonts w:ascii="Symbol" w:hAnsi="Symbol"/>
                <w:spacing w:val="-2"/>
                <w:lang w:val="en-US"/>
              </w:rPr>
              <w:t></w:t>
            </w:r>
            <w:r>
              <w:rPr>
                <w:spacing w:val="-2"/>
                <w:lang w:val="fr-FR"/>
              </w:rPr>
              <w:t xml:space="preserve"> 1.0) x 10</w:t>
            </w:r>
            <w:r>
              <w:rPr>
                <w:spacing w:val="-2"/>
                <w:vertAlign w:val="superscript"/>
                <w:lang w:val="fr-FR"/>
              </w:rPr>
              <w:t>-13</w:t>
            </w:r>
          </w:p>
        </w:tc>
        <w:tc>
          <w:tcPr>
            <w:tcW w:type="dxa" w:w="1065"/>
            <w:tcBorders>
              <w:top w:val="none"/>
              <w:left w:val="none"/>
              <w:bottom w:val="none"/>
              <w:right w:val="none"/>
            </w:tcBorders>
            <w:shd w:fill="FFFFFF" w:val="clear"/>
          </w:tcPr>
          <w:p>
            <w:pPr>
              <w:pStyle w:val="style0"/>
              <w:spacing w:line="263" w:lineRule="atLeast"/>
              <w:jc w:val="both"/>
            </w:pPr>
            <w:r>
              <w:rPr>
                <w:spacing w:val="-2"/>
                <w:lang w:val="fr-FR"/>
              </w:rPr>
              <w:t>295</w:t>
            </w:r>
          </w:p>
        </w:tc>
        <w:tc>
          <w:tcPr>
            <w:tcW w:type="dxa" w:w="2752"/>
            <w:tcBorders>
              <w:top w:val="none"/>
              <w:left w:val="none"/>
              <w:bottom w:val="none"/>
              <w:right w:val="none"/>
            </w:tcBorders>
            <w:shd w:fill="FFFFFF" w:val="clear"/>
          </w:tcPr>
          <w:p>
            <w:pPr>
              <w:pStyle w:val="style0"/>
              <w:spacing w:line="263" w:lineRule="atLeast"/>
              <w:jc w:val="both"/>
            </w:pPr>
            <w:r>
              <w:rPr>
                <w:spacing w:val="-2"/>
                <w:lang w:val="fr-FR"/>
              </w:rPr>
              <w:t>Wallington et al., 1996</w:t>
            </w:r>
          </w:p>
        </w:tc>
        <w:tc>
          <w:tcPr>
            <w:tcW w:type="dxa" w:w="2201"/>
            <w:tcBorders>
              <w:top w:val="none"/>
              <w:left w:val="none"/>
              <w:bottom w:val="none"/>
              <w:right w:val="none"/>
            </w:tcBorders>
            <w:shd w:fill="FFFFFF" w:val="clear"/>
          </w:tcPr>
          <w:p>
            <w:pPr>
              <w:pStyle w:val="style0"/>
              <w:spacing w:line="263" w:lineRule="atLeast"/>
              <w:jc w:val="center"/>
            </w:pPr>
            <w:r>
              <w:rPr>
                <w:spacing w:val="-2"/>
                <w:lang w:val="fr-FR"/>
              </w:rPr>
              <w:t>RR (d)</w:t>
            </w:r>
          </w:p>
        </w:tc>
      </w:tr>
      <w:tr>
        <w:trPr>
          <w:cantSplit w:val="false"/>
        </w:trPr>
        <w:tc>
          <w:tcPr>
            <w:tcW w:type="dxa" w:w="2473"/>
            <w:tcBorders>
              <w:top w:val="none"/>
              <w:left w:val="none"/>
              <w:bottom w:val="none"/>
              <w:right w:val="none"/>
            </w:tcBorders>
            <w:shd w:fill="FFFFFF" w:val="clear"/>
          </w:tcPr>
          <w:p>
            <w:pPr>
              <w:pStyle w:val="style0"/>
              <w:spacing w:line="263" w:lineRule="atLeast"/>
              <w:jc w:val="both"/>
            </w:pPr>
            <w:r>
              <w:rPr>
                <w:spacing w:val="-2"/>
                <w:lang w:val="fr-FR"/>
              </w:rPr>
              <w:t xml:space="preserve">(6.8 </w:t>
            </w:r>
            <w:r>
              <w:rPr>
                <w:rFonts w:ascii="Symbol" w:hAnsi="Symbol"/>
                <w:spacing w:val="-2"/>
                <w:lang w:val="en-US"/>
              </w:rPr>
              <w:t></w:t>
            </w:r>
            <w:r>
              <w:rPr>
                <w:spacing w:val="-2"/>
                <w:lang w:val="fr-FR"/>
              </w:rPr>
              <w:t xml:space="preserve"> 0.7) x 10</w:t>
            </w:r>
            <w:r>
              <w:rPr>
                <w:spacing w:val="-2"/>
                <w:vertAlign w:val="superscript"/>
                <w:lang w:val="fr-FR"/>
              </w:rPr>
              <w:t>-13</w:t>
            </w:r>
          </w:p>
        </w:tc>
        <w:tc>
          <w:tcPr>
            <w:tcW w:type="dxa" w:w="1065"/>
            <w:tcBorders>
              <w:top w:val="none"/>
              <w:left w:val="none"/>
              <w:bottom w:val="none"/>
              <w:right w:val="none"/>
            </w:tcBorders>
            <w:shd w:fill="FFFFFF" w:val="clear"/>
          </w:tcPr>
          <w:p>
            <w:pPr>
              <w:pStyle w:val="style0"/>
              <w:spacing w:line="263" w:lineRule="atLeast"/>
              <w:jc w:val="both"/>
            </w:pPr>
            <w:r>
              <w:rPr>
                <w:spacing w:val="-2"/>
                <w:lang w:val="fr-FR"/>
              </w:rPr>
              <w:t>295</w:t>
            </w:r>
          </w:p>
        </w:tc>
        <w:tc>
          <w:tcPr>
            <w:tcW w:type="dxa" w:w="2752"/>
            <w:tcBorders>
              <w:top w:val="none"/>
              <w:left w:val="none"/>
              <w:bottom w:val="none"/>
              <w:right w:val="none"/>
            </w:tcBorders>
            <w:shd w:fill="FFFFFF" w:val="clear"/>
          </w:tcPr>
          <w:p>
            <w:pPr>
              <w:pStyle w:val="style0"/>
              <w:spacing w:line="263" w:lineRule="atLeast"/>
              <w:jc w:val="both"/>
            </w:pPr>
            <w:r>
              <w:rPr>
                <w:spacing w:val="-2"/>
                <w:lang w:val="fr-FR"/>
              </w:rPr>
              <w:t>Catoire et al., 1996</w:t>
            </w:r>
          </w:p>
        </w:tc>
        <w:tc>
          <w:tcPr>
            <w:tcW w:type="dxa" w:w="2201"/>
            <w:tcBorders>
              <w:top w:val="none"/>
              <w:left w:val="none"/>
              <w:bottom w:val="none"/>
              <w:right w:val="none"/>
            </w:tcBorders>
            <w:shd w:fill="FFFFFF" w:val="clear"/>
          </w:tcPr>
          <w:p>
            <w:pPr>
              <w:pStyle w:val="style0"/>
              <w:spacing w:line="263" w:lineRule="atLeast"/>
              <w:jc w:val="center"/>
            </w:pPr>
            <w:r>
              <w:rPr>
                <w:spacing w:val="-2"/>
                <w:lang w:val="fr-FR"/>
              </w:rPr>
              <w:t>RR (e)</w:t>
            </w:r>
          </w:p>
        </w:tc>
      </w:tr>
      <w:tr>
        <w:trPr>
          <w:cantSplit w:val="false"/>
        </w:trPr>
        <w:tc>
          <w:tcPr>
            <w:tcW w:type="dxa" w:w="2473"/>
            <w:tcBorders>
              <w:top w:val="none"/>
              <w:left w:val="none"/>
              <w:bottom w:val="none"/>
              <w:right w:val="none"/>
            </w:tcBorders>
            <w:shd w:fill="FFFFFF" w:val="clear"/>
          </w:tcPr>
          <w:p>
            <w:pPr>
              <w:pStyle w:val="style0"/>
              <w:spacing w:line="263" w:lineRule="atLeast"/>
              <w:jc w:val="both"/>
            </w:pPr>
            <w:r>
              <w:rPr>
                <w:spacing w:val="-2"/>
                <w:lang w:val="fr-FR"/>
              </w:rPr>
              <w:t>8.3 x 10</w:t>
            </w:r>
            <w:r>
              <w:rPr>
                <w:spacing w:val="-2"/>
                <w:vertAlign w:val="superscript"/>
                <w:lang w:val="fr-FR"/>
              </w:rPr>
              <w:t>-12</w:t>
            </w:r>
            <w:r>
              <w:rPr>
                <w:spacing w:val="-2"/>
                <w:lang w:val="fr-FR"/>
              </w:rPr>
              <w:t xml:space="preserve"> exp (-745/</w:t>
            </w:r>
            <w:r>
              <w:rPr>
                <w:i/>
                <w:spacing w:val="-2"/>
                <w:lang w:val="fr-FR"/>
              </w:rPr>
              <w:t>T</w:t>
            </w:r>
            <w:r>
              <w:rPr>
                <w:spacing w:val="-2"/>
                <w:lang w:val="fr-FR"/>
              </w:rPr>
              <w:t>)</w:t>
            </w:r>
          </w:p>
        </w:tc>
        <w:tc>
          <w:tcPr>
            <w:tcW w:type="dxa" w:w="1065"/>
            <w:tcBorders>
              <w:top w:val="none"/>
              <w:left w:val="none"/>
              <w:bottom w:val="none"/>
              <w:right w:val="none"/>
            </w:tcBorders>
            <w:shd w:fill="FFFFFF" w:val="clear"/>
          </w:tcPr>
          <w:p>
            <w:pPr>
              <w:pStyle w:val="style0"/>
              <w:spacing w:line="263" w:lineRule="atLeast"/>
              <w:jc w:val="both"/>
            </w:pPr>
            <w:r>
              <w:rPr>
                <w:spacing w:val="-2"/>
                <w:lang w:val="fr-FR"/>
              </w:rPr>
              <w:t>222-296</w:t>
            </w:r>
          </w:p>
        </w:tc>
        <w:tc>
          <w:tcPr>
            <w:tcW w:type="dxa" w:w="2752"/>
            <w:tcBorders>
              <w:top w:val="none"/>
              <w:left w:val="none"/>
              <w:bottom w:val="none"/>
              <w:right w:val="none"/>
            </w:tcBorders>
            <w:shd w:fill="FFFFFF" w:val="clear"/>
          </w:tcPr>
          <w:p>
            <w:pPr>
              <w:pStyle w:val="style0"/>
              <w:spacing w:line="263" w:lineRule="atLeast"/>
              <w:jc w:val="both"/>
            </w:pPr>
            <w:r>
              <w:rPr>
                <w:spacing w:val="-2"/>
                <w:lang w:val="fr-FR"/>
              </w:rPr>
              <w:t>Orlando, 1999</w:t>
            </w:r>
          </w:p>
        </w:tc>
        <w:tc>
          <w:tcPr>
            <w:tcW w:type="dxa" w:w="2201"/>
            <w:tcBorders>
              <w:top w:val="none"/>
              <w:left w:val="none"/>
              <w:bottom w:val="none"/>
              <w:right w:val="none"/>
            </w:tcBorders>
            <w:shd w:fill="FFFFFF" w:val="clear"/>
          </w:tcPr>
          <w:p>
            <w:pPr>
              <w:pStyle w:val="style0"/>
              <w:spacing w:line="263" w:lineRule="atLeast"/>
              <w:jc w:val="center"/>
            </w:pPr>
            <w:r>
              <w:rPr>
                <w:spacing w:val="-2"/>
                <w:lang w:val="fr-FR"/>
              </w:rPr>
              <w:t>RR (f)</w:t>
            </w:r>
          </w:p>
        </w:tc>
      </w:tr>
      <w:tr>
        <w:trPr>
          <w:cantSplit w:val="false"/>
        </w:trPr>
        <w:tc>
          <w:tcPr>
            <w:tcW w:type="dxa" w:w="2473"/>
            <w:tcBorders>
              <w:top w:val="none"/>
              <w:left w:val="none"/>
              <w:bottom w:color="000001" w:space="0" w:sz="4" w:val="single"/>
              <w:right w:val="none"/>
            </w:tcBorders>
            <w:shd w:fill="FFFFFF" w:val="clear"/>
          </w:tcPr>
          <w:p>
            <w:pPr>
              <w:pStyle w:val="style0"/>
              <w:spacing w:after="120" w:before="0" w:line="263" w:lineRule="atLeast"/>
              <w:contextualSpacing w:val="false"/>
              <w:jc w:val="both"/>
            </w:pPr>
            <w:r>
              <w:rPr>
                <w:spacing w:val="-2"/>
                <w:lang w:val="fr-FR"/>
              </w:rPr>
              <w:t>6.8 x 10</w:t>
            </w:r>
            <w:r>
              <w:rPr>
                <w:spacing w:val="-2"/>
                <w:vertAlign w:val="superscript"/>
                <w:lang w:val="fr-FR"/>
              </w:rPr>
              <w:t>-13</w:t>
            </w:r>
          </w:p>
        </w:tc>
        <w:tc>
          <w:tcPr>
            <w:tcW w:type="dxa" w:w="1065"/>
            <w:tcBorders>
              <w:top w:val="none"/>
              <w:left w:val="none"/>
              <w:bottom w:color="000001" w:space="0" w:sz="4" w:val="single"/>
              <w:right w:val="none"/>
            </w:tcBorders>
            <w:shd w:fill="FFFFFF" w:val="clear"/>
          </w:tcPr>
          <w:p>
            <w:pPr>
              <w:pStyle w:val="style0"/>
              <w:spacing w:after="120" w:before="0" w:line="263" w:lineRule="atLeast"/>
              <w:contextualSpacing w:val="false"/>
              <w:jc w:val="both"/>
            </w:pPr>
            <w:r>
              <w:rPr>
                <w:spacing w:val="-2"/>
                <w:lang w:val="fr-FR"/>
              </w:rPr>
              <w:t>298</w:t>
            </w:r>
          </w:p>
        </w:tc>
        <w:tc>
          <w:tcPr>
            <w:tcW w:type="dxa" w:w="2752"/>
            <w:tcBorders>
              <w:top w:val="none"/>
              <w:left w:val="none"/>
              <w:bottom w:color="000001" w:space="0" w:sz="4" w:val="single"/>
              <w:right w:val="none"/>
            </w:tcBorders>
            <w:shd w:fill="FFFFFF" w:val="clear"/>
          </w:tcPr>
          <w:p>
            <w:pPr>
              <w:pStyle w:val="style0"/>
              <w:spacing w:after="120" w:before="0" w:line="263" w:lineRule="atLeast"/>
              <w:contextualSpacing w:val="false"/>
              <w:jc w:val="both"/>
            </w:pPr>
            <w:r>
              <w:rPr/>
            </w:r>
          </w:p>
        </w:tc>
        <w:tc>
          <w:tcPr>
            <w:tcW w:type="dxa" w:w="2201"/>
            <w:tcBorders>
              <w:top w:val="none"/>
              <w:left w:val="none"/>
              <w:bottom w:color="000001" w:space="0" w:sz="4" w:val="single"/>
              <w:right w:val="none"/>
            </w:tcBorders>
            <w:shd w:fill="FFFFFF" w:val="clear"/>
          </w:tcPr>
          <w:p>
            <w:pPr>
              <w:pStyle w:val="style0"/>
              <w:spacing w:after="120" w:before="0" w:line="263" w:lineRule="atLeast"/>
              <w:contextualSpacing w:val="false"/>
              <w:jc w:val="both"/>
            </w:pPr>
            <w:r>
              <w:rPr/>
            </w:r>
          </w:p>
        </w:tc>
      </w:tr>
    </w:tbl>
    <w:p>
      <w:pPr>
        <w:pStyle w:val="style0"/>
        <w:tabs>
          <w:tab w:leader="none" w:pos="0" w:val="left"/>
          <w:tab w:leader="none" w:pos="128" w:val="left"/>
          <w:tab w:leader="none" w:pos="3570" w:val="left"/>
          <w:tab w:leader="none" w:pos="4866" w:val="left"/>
          <w:tab w:leader="none" w:pos="8394" w:val="left"/>
          <w:tab w:leader="none" w:pos="8811" w:val="left"/>
          <w:tab w:leader="none" w:pos="9360" w:val="left"/>
        </w:tabs>
        <w:spacing w:line="240" w:lineRule="atLeast"/>
        <w:jc w:val="both"/>
      </w:pPr>
      <w:r>
        <w:rPr/>
      </w:r>
    </w:p>
    <w:p>
      <w:pPr>
        <w:pStyle w:val="style1"/>
        <w:numPr>
          <w:ilvl w:val="0"/>
          <w:numId w:val="1"/>
        </w:numPr>
      </w:pPr>
      <w:r>
        <w:rPr>
          <w:lang w:val="fr-FR"/>
        </w:rPr>
        <w:t>Comments</w:t>
      </w:r>
    </w:p>
    <w:p>
      <w:pPr>
        <w:pStyle w:val="style0"/>
        <w:tabs>
          <w:tab w:leader="none" w:pos="0" w:val="left"/>
          <w:tab w:leader="none" w:pos="444" w:val="left"/>
          <w:tab w:leader="none" w:pos="720" w:val="left"/>
        </w:tabs>
        <w:spacing w:line="240" w:lineRule="atLeast"/>
        <w:jc w:val="both"/>
      </w:pPr>
      <w:r>
        <w:rPr/>
      </w:r>
    </w:p>
    <w:p>
      <w:pPr>
        <w:pStyle w:val="style0"/>
        <w:tabs>
          <w:tab w:leader="none" w:pos="1332" w:val="left"/>
          <w:tab w:leader="none" w:pos="1776" w:val="left"/>
          <w:tab w:leader="none" w:pos="2052" w:val="left"/>
        </w:tabs>
        <w:spacing w:line="240" w:lineRule="atLeast"/>
        <w:ind w:hanging="444" w:left="444" w:right="525"/>
        <w:jc w:val="both"/>
      </w:pPr>
      <w:r>
        <w:rPr>
          <w:spacing w:val="-3"/>
          <w:sz w:val="24"/>
          <w:lang w:val="en-US"/>
        </w:rPr>
        <w:t>(a)</w:t>
        <w:tab/>
        <w:t xml:space="preserve">Rate coefficient ratios of </w:t>
      </w:r>
      <w:r>
        <w:rPr>
          <w:i/>
          <w:spacing w:val="-3"/>
          <w:sz w:val="24"/>
          <w:lang w:val="en-US"/>
        </w:rPr>
        <w:t>k</w:t>
      </w:r>
      <w:r>
        <w:rPr>
          <w:spacing w:val="-3"/>
          <w:sz w:val="24"/>
          <w:lang w:val="en-US"/>
        </w:rPr>
        <w:t>(Cl + HC(O)Cl)/</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 xml:space="preserve">Cl) = 1.85 </w:t>
      </w:r>
      <w:r>
        <w:rPr>
          <w:rFonts w:ascii="Symbol" w:hAnsi="Symbol"/>
          <w:spacing w:val="-3"/>
          <w:sz w:val="24"/>
          <w:lang w:val="en-US"/>
        </w:rPr>
        <w:t></w:t>
      </w:r>
      <w:r>
        <w:rPr>
          <w:spacing w:val="-3"/>
          <w:sz w:val="24"/>
          <w:lang w:val="en-US"/>
        </w:rPr>
        <w:t xml:space="preserve"> 0.43 and </w:t>
      </w:r>
      <w:r>
        <w:rPr>
          <w:i/>
          <w:spacing w:val="-3"/>
          <w:sz w:val="24"/>
          <w:lang w:val="en-US"/>
        </w:rPr>
        <w:t>k</w:t>
      </w:r>
      <w:r>
        <w:rPr>
          <w:spacing w:val="-3"/>
          <w:sz w:val="24"/>
          <w:lang w:val="en-US"/>
        </w:rPr>
        <w:t>(Cl + HC(O)Cl)/</w:t>
      </w:r>
      <w:r>
        <w:rPr>
          <w:i/>
          <w:spacing w:val="-3"/>
          <w:sz w:val="24"/>
          <w:lang w:val="en-US"/>
        </w:rPr>
        <w:t>k</w:t>
      </w:r>
      <w:r>
        <w:rPr>
          <w:spacing w:val="-3"/>
          <w:sz w:val="24"/>
          <w:lang w:val="en-US"/>
        </w:rPr>
        <w:t>(Cl + CH</w:t>
      </w:r>
      <w:r>
        <w:rPr>
          <w:spacing w:val="-3"/>
          <w:sz w:val="24"/>
          <w:vertAlign w:val="subscript"/>
          <w:lang w:val="en-US"/>
        </w:rPr>
        <w:t>2</w:t>
      </w:r>
      <w:r>
        <w:rPr>
          <w:spacing w:val="-3"/>
          <w:sz w:val="24"/>
          <w:lang w:val="en-US"/>
        </w:rPr>
        <w:t>Cl</w:t>
      </w:r>
      <w:r>
        <w:rPr>
          <w:spacing w:val="-3"/>
          <w:sz w:val="24"/>
          <w:vertAlign w:val="subscript"/>
          <w:lang w:val="en-US"/>
        </w:rPr>
        <w:t>2</w:t>
      </w:r>
      <w:r>
        <w:rPr>
          <w:spacing w:val="-3"/>
          <w:sz w:val="24"/>
          <w:lang w:val="en-US"/>
        </w:rPr>
        <w:t xml:space="preserve">) = 1.66 </w:t>
      </w:r>
      <w:r>
        <w:rPr>
          <w:rFonts w:ascii="Symbol" w:hAnsi="Symbol"/>
          <w:spacing w:val="-3"/>
          <w:sz w:val="24"/>
          <w:lang w:val="en-US"/>
        </w:rPr>
        <w:t></w:t>
      </w:r>
      <w:r>
        <w:rPr>
          <w:spacing w:val="-3"/>
          <w:sz w:val="24"/>
          <w:lang w:val="en-US"/>
        </w:rPr>
        <w:t xml:space="preserve"> 0.15 derived from the kinetic analysis of HC(O)Cl in Cl atom-sensitized oxidation of CH</w:t>
      </w:r>
      <w:r>
        <w:rPr>
          <w:spacing w:val="-3"/>
          <w:sz w:val="24"/>
          <w:vertAlign w:val="subscript"/>
          <w:lang w:val="en-US"/>
        </w:rPr>
        <w:t>2</w:t>
      </w:r>
      <w:r>
        <w:rPr>
          <w:spacing w:val="-3"/>
          <w:sz w:val="24"/>
          <w:lang w:val="en-US"/>
        </w:rPr>
        <w:t>Cl</w:t>
      </w:r>
      <w:r>
        <w:rPr>
          <w:spacing w:val="-3"/>
          <w:sz w:val="24"/>
          <w:vertAlign w:val="subscript"/>
          <w:lang w:val="en-US"/>
        </w:rPr>
        <w:t>2</w:t>
      </w:r>
      <w:r>
        <w:rPr>
          <w:spacing w:val="-3"/>
          <w:sz w:val="24"/>
          <w:lang w:val="en-US"/>
        </w:rPr>
        <w:t xml:space="preserve"> and CH</w:t>
      </w:r>
      <w:r>
        <w:rPr>
          <w:spacing w:val="-3"/>
          <w:sz w:val="24"/>
          <w:vertAlign w:val="subscript"/>
          <w:lang w:val="en-US"/>
        </w:rPr>
        <w:t>3</w:t>
      </w:r>
      <w:r>
        <w:rPr>
          <w:spacing w:val="-3"/>
          <w:sz w:val="24"/>
          <w:lang w:val="en-US"/>
        </w:rPr>
        <w:t xml:space="preserve">Cl. This was placed on an absolute basis using </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Cl) = 4.8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color w:val="FF0000"/>
          <w:spacing w:val="-3"/>
          <w:sz w:val="24"/>
          <w:lang w:val="en-US"/>
        </w:rPr>
        <w:t xml:space="preserve"> </w:t>
      </w:r>
      <w:r>
        <w:rPr>
          <w:spacing w:val="-3"/>
          <w:sz w:val="24"/>
          <w:lang w:val="en-US"/>
        </w:rPr>
        <w:t>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and </w:t>
      </w:r>
      <w:r>
        <w:rPr>
          <w:i/>
          <w:spacing w:val="-3"/>
          <w:sz w:val="24"/>
          <w:lang w:val="en-US"/>
        </w:rPr>
        <w:t>k</w:t>
      </w:r>
      <w:r>
        <w:rPr>
          <w:spacing w:val="-3"/>
          <w:sz w:val="24"/>
          <w:lang w:val="en-US"/>
        </w:rPr>
        <w:t>(Cl + CH</w:t>
      </w:r>
      <w:r>
        <w:rPr>
          <w:spacing w:val="-3"/>
          <w:sz w:val="24"/>
          <w:vertAlign w:val="subscript"/>
          <w:lang w:val="en-US"/>
        </w:rPr>
        <w:t>2</w:t>
      </w:r>
      <w:r>
        <w:rPr>
          <w:spacing w:val="-3"/>
          <w:sz w:val="24"/>
          <w:lang w:val="en-US"/>
        </w:rPr>
        <w:t>Cl</w:t>
      </w:r>
      <w:r>
        <w:rPr>
          <w:spacing w:val="-3"/>
          <w:sz w:val="24"/>
          <w:vertAlign w:val="subscript"/>
          <w:lang w:val="en-US"/>
        </w:rPr>
        <w:t>2</w:t>
      </w:r>
      <w:r>
        <w:rPr>
          <w:spacing w:val="-3"/>
          <w:sz w:val="24"/>
          <w:lang w:val="en-US"/>
        </w:rPr>
        <w:t>) = 3.6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2008). The rate coefficient cited in the table is the average of the two values obtained, which however differ significantly.</w:t>
      </w:r>
    </w:p>
    <w:p>
      <w:pPr>
        <w:pStyle w:val="style0"/>
        <w:tabs>
          <w:tab w:leader="none" w:pos="1332" w:val="left"/>
          <w:tab w:leader="none" w:pos="1776" w:val="left"/>
          <w:tab w:leader="none" w:pos="2052" w:val="left"/>
        </w:tabs>
        <w:spacing w:line="240" w:lineRule="atLeast"/>
        <w:ind w:hanging="444" w:left="444" w:right="525"/>
        <w:jc w:val="both"/>
      </w:pPr>
      <w:r>
        <w:rPr>
          <w:spacing w:val="-3"/>
          <w:sz w:val="24"/>
          <w:lang w:val="en-US"/>
        </w:rPr>
        <w:t>(b)</w:t>
        <w:tab/>
        <w:t xml:space="preserve">Rate coefficient ratio of </w:t>
      </w:r>
      <w:r>
        <w:rPr>
          <w:i/>
          <w:spacing w:val="-3"/>
          <w:sz w:val="24"/>
          <w:lang w:val="en-US"/>
        </w:rPr>
        <w:t>k</w:t>
      </w:r>
      <w:r>
        <w:rPr>
          <w:spacing w:val="-3"/>
          <w:sz w:val="24"/>
          <w:lang w:val="en-US"/>
        </w:rPr>
        <w:t>(Cl + HC(O)Cl)/</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 xml:space="preserve">Cl) = 1.6 </w:t>
      </w:r>
      <w:r>
        <w:rPr>
          <w:rFonts w:ascii="Symbol" w:hAnsi="Symbol"/>
          <w:spacing w:val="-3"/>
          <w:sz w:val="24"/>
          <w:lang w:val="en-US"/>
        </w:rPr>
        <w:t></w:t>
      </w:r>
      <w:r>
        <w:rPr>
          <w:spacing w:val="-3"/>
          <w:sz w:val="24"/>
          <w:lang w:val="en-US"/>
        </w:rPr>
        <w:t xml:space="preserve"> 0.2 determined using FTIR absorption spectroscopy in irradiated Cl</w:t>
      </w:r>
      <w:r>
        <w:rPr>
          <w:spacing w:val="-3"/>
          <w:sz w:val="24"/>
          <w:vertAlign w:val="subscript"/>
          <w:lang w:val="en-US"/>
        </w:rPr>
        <w:t>2</w:t>
      </w:r>
      <w:r>
        <w:rPr>
          <w:spacing w:val="-3"/>
          <w:sz w:val="24"/>
          <w:lang w:val="en-US"/>
        </w:rPr>
        <w:t>-CH</w:t>
      </w:r>
      <w:r>
        <w:rPr>
          <w:spacing w:val="-3"/>
          <w:sz w:val="24"/>
          <w:vertAlign w:val="subscript"/>
          <w:lang w:val="en-US"/>
        </w:rPr>
        <w:t>3</w:t>
      </w:r>
      <w:r>
        <w:rPr>
          <w:spacing w:val="-3"/>
          <w:sz w:val="24"/>
          <w:lang w:val="en-US"/>
        </w:rPr>
        <w:t>Cl-O</w:t>
      </w:r>
      <w:r>
        <w:rPr>
          <w:spacing w:val="-3"/>
          <w:sz w:val="24"/>
          <w:vertAlign w:val="subscript"/>
          <w:lang w:val="en-US"/>
        </w:rPr>
        <w:t>2</w:t>
      </w:r>
      <w:r>
        <w:rPr>
          <w:spacing w:val="-3"/>
          <w:sz w:val="24"/>
          <w:lang w:val="en-US"/>
        </w:rPr>
        <w:t>-N</w:t>
      </w:r>
      <w:r>
        <w:rPr>
          <w:spacing w:val="-3"/>
          <w:sz w:val="24"/>
          <w:vertAlign w:val="subscript"/>
          <w:lang w:val="en-US"/>
        </w:rPr>
        <w:t>2</w:t>
      </w:r>
      <w:r>
        <w:rPr>
          <w:spacing w:val="-3"/>
          <w:sz w:val="24"/>
          <w:lang w:val="en-US"/>
        </w:rPr>
        <w:t xml:space="preserve"> mixtures at 933 mbar total pressure. The rate coefficient ratio was placed on an absolute basis using </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Cl) = 4.8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2008).</w:t>
      </w:r>
    </w:p>
    <w:p>
      <w:pPr>
        <w:pStyle w:val="style0"/>
        <w:numPr>
          <w:ilvl w:val="0"/>
          <w:numId w:val="2"/>
        </w:numPr>
        <w:tabs>
          <w:tab w:leader="none" w:pos="1350" w:val="left"/>
          <w:tab w:leader="none" w:pos="2070" w:val="left"/>
        </w:tabs>
        <w:spacing w:line="240" w:lineRule="atLeast"/>
        <w:ind w:hanging="450" w:left="450" w:right="525"/>
        <w:jc w:val="both"/>
      </w:pPr>
      <w:r>
        <w:rPr>
          <w:spacing w:val="-3"/>
          <w:sz w:val="24"/>
          <w:lang w:val="en-US"/>
        </w:rPr>
        <w:t>Relative rate study. Cl atoms generated by the photolysis of Cl</w:t>
      </w:r>
      <w:r>
        <w:rPr>
          <w:spacing w:val="-3"/>
          <w:sz w:val="24"/>
          <w:vertAlign w:val="subscript"/>
          <w:lang w:val="en-US"/>
        </w:rPr>
        <w:t>2</w:t>
      </w:r>
      <w:r>
        <w:rPr>
          <w:spacing w:val="-3"/>
          <w:sz w:val="24"/>
          <w:lang w:val="en-US"/>
        </w:rPr>
        <w:t xml:space="preserve"> in Cl</w:t>
      </w:r>
      <w:r>
        <w:rPr>
          <w:spacing w:val="-3"/>
          <w:sz w:val="24"/>
          <w:vertAlign w:val="subscript"/>
          <w:lang w:val="en-US"/>
        </w:rPr>
        <w:t>2</w:t>
      </w:r>
      <w:r>
        <w:rPr>
          <w:spacing w:val="-3"/>
          <w:sz w:val="24"/>
          <w:lang w:val="en-US"/>
        </w:rPr>
        <w:t>-HC(O)Cl-CH</w:t>
      </w:r>
      <w:r>
        <w:rPr>
          <w:spacing w:val="-3"/>
          <w:sz w:val="24"/>
          <w:vertAlign w:val="subscript"/>
          <w:lang w:val="en-US"/>
        </w:rPr>
        <w:t>4</w:t>
      </w:r>
      <w:r>
        <w:rPr>
          <w:spacing w:val="-3"/>
          <w:sz w:val="24"/>
          <w:lang w:val="en-US"/>
        </w:rPr>
        <w:t>-N</w:t>
      </w:r>
      <w:r>
        <w:rPr>
          <w:spacing w:val="-3"/>
          <w:sz w:val="24"/>
          <w:vertAlign w:val="subscript"/>
          <w:lang w:val="en-US"/>
        </w:rPr>
        <w:t>2</w:t>
      </w:r>
      <w:r>
        <w:rPr>
          <w:spacing w:val="-3"/>
          <w:sz w:val="24"/>
          <w:lang w:val="en-US"/>
        </w:rPr>
        <w:t xml:space="preserve"> mixtures at 1000 mbar total pressure. The concentrations of HC(O)Cl and CH</w:t>
      </w:r>
      <w:r>
        <w:rPr>
          <w:spacing w:val="-3"/>
          <w:sz w:val="24"/>
          <w:vertAlign w:val="subscript"/>
          <w:lang w:val="en-US"/>
        </w:rPr>
        <w:t>4</w:t>
      </w:r>
      <w:r>
        <w:rPr>
          <w:spacing w:val="-3"/>
          <w:sz w:val="24"/>
          <w:lang w:val="en-US"/>
        </w:rPr>
        <w:t xml:space="preserve"> were measured by FTIR absorption spectroscopy (HC(O)Cl) and/or gas chromatography (CH</w:t>
      </w:r>
      <w:r>
        <w:rPr>
          <w:spacing w:val="-3"/>
          <w:sz w:val="24"/>
          <w:vertAlign w:val="subscript"/>
          <w:lang w:val="en-US"/>
        </w:rPr>
        <w:t>4</w:t>
      </w:r>
      <w:r>
        <w:rPr>
          <w:spacing w:val="-3"/>
          <w:sz w:val="24"/>
          <w:lang w:val="en-US"/>
        </w:rPr>
        <w:t xml:space="preserve">). Rate coefficient ratios were determined over the temperature range 265.8-321.3 K, and placed on an absolute basis using </w:t>
      </w:r>
      <w:r>
        <w:rPr>
          <w:i/>
          <w:spacing w:val="-3"/>
          <w:sz w:val="24"/>
          <w:lang w:val="en-US"/>
        </w:rPr>
        <w:t>k</w:t>
      </w:r>
      <w:r>
        <w:rPr>
          <w:spacing w:val="-3"/>
          <w:sz w:val="24"/>
          <w:lang w:val="en-US"/>
        </w:rPr>
        <w:t>(Cl + CH</w:t>
      </w:r>
      <w:r>
        <w:rPr>
          <w:spacing w:val="-3"/>
          <w:sz w:val="24"/>
          <w:vertAlign w:val="subscript"/>
          <w:lang w:val="en-US"/>
        </w:rPr>
        <w:t>4</w:t>
      </w:r>
      <w:r>
        <w:rPr>
          <w:spacing w:val="-3"/>
          <w:sz w:val="24"/>
          <w:lang w:val="en-US"/>
        </w:rPr>
        <w:t>) = 6.6 x 10</w:t>
      </w:r>
      <w:r>
        <w:rPr>
          <w:spacing w:val="-3"/>
          <w:sz w:val="24"/>
          <w:vertAlign w:val="superscript"/>
          <w:lang w:val="en-US"/>
        </w:rPr>
        <w:t>-12</w:t>
      </w:r>
      <w:r>
        <w:rPr>
          <w:spacing w:val="-3"/>
          <w:sz w:val="24"/>
          <w:lang w:val="en-US"/>
        </w:rPr>
        <w:t xml:space="preserve"> exp(-1240/</w:t>
      </w:r>
      <w:r>
        <w:rPr>
          <w:i/>
          <w:spacing w:val="-3"/>
          <w:sz w:val="24"/>
          <w:lang w:val="en-US"/>
        </w:rPr>
        <w:t>T</w:t>
      </w:r>
      <w:r>
        <w:rPr>
          <w:spacing w:val="-3"/>
          <w:sz w:val="24"/>
          <w:lang w:val="en-US"/>
        </w:rPr>
        <w:t>)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2006).</w:t>
      </w:r>
    </w:p>
    <w:p>
      <w:pPr>
        <w:pStyle w:val="style0"/>
        <w:numPr>
          <w:ilvl w:val="0"/>
          <w:numId w:val="2"/>
        </w:numPr>
        <w:tabs>
          <w:tab w:leader="none" w:pos="1350" w:val="left"/>
          <w:tab w:leader="none" w:pos="2070" w:val="left"/>
        </w:tabs>
        <w:spacing w:line="240" w:lineRule="atLeast"/>
        <w:ind w:hanging="450" w:left="450" w:right="525"/>
        <w:jc w:val="both"/>
      </w:pPr>
      <w:r>
        <w:rPr>
          <w:spacing w:val="-3"/>
          <w:sz w:val="24"/>
          <w:lang w:val="en-US"/>
        </w:rPr>
        <w:t>Relative rate study. Cl atoms generated by the photolysis of Cl</w:t>
      </w:r>
      <w:r>
        <w:rPr>
          <w:spacing w:val="-3"/>
          <w:sz w:val="24"/>
          <w:vertAlign w:val="subscript"/>
          <w:lang w:val="en-US"/>
        </w:rPr>
        <w:t>2</w:t>
      </w:r>
      <w:r>
        <w:rPr>
          <w:spacing w:val="-3"/>
          <w:sz w:val="24"/>
          <w:lang w:val="en-US"/>
        </w:rPr>
        <w:t xml:space="preserve"> in Cl</w:t>
      </w:r>
      <w:r>
        <w:rPr>
          <w:spacing w:val="-3"/>
          <w:sz w:val="24"/>
          <w:vertAlign w:val="subscript"/>
          <w:lang w:val="en-US"/>
        </w:rPr>
        <w:t>2</w:t>
      </w:r>
      <w:r>
        <w:rPr>
          <w:spacing w:val="-3"/>
          <w:sz w:val="24"/>
          <w:lang w:val="en-US"/>
        </w:rPr>
        <w:t>-CH</w:t>
      </w:r>
      <w:r>
        <w:rPr>
          <w:spacing w:val="-3"/>
          <w:sz w:val="24"/>
          <w:vertAlign w:val="subscript"/>
          <w:lang w:val="en-US"/>
        </w:rPr>
        <w:t>3</w:t>
      </w:r>
      <w:r>
        <w:rPr>
          <w:spacing w:val="-3"/>
          <w:sz w:val="24"/>
          <w:lang w:val="en-US"/>
        </w:rPr>
        <w:t>Cl-air mixtures at 933 mbar total pressure. The concentrations of HC(O)Cl and CH</w:t>
      </w:r>
      <w:r>
        <w:rPr>
          <w:spacing w:val="-3"/>
          <w:sz w:val="24"/>
          <w:vertAlign w:val="subscript"/>
          <w:lang w:val="en-US"/>
        </w:rPr>
        <w:t>3</w:t>
      </w:r>
      <w:r>
        <w:rPr>
          <w:spacing w:val="-3"/>
          <w:sz w:val="24"/>
          <w:lang w:val="en-US"/>
        </w:rPr>
        <w:t xml:space="preserve">Cl were measured by FTIR absorption spectroscopy.  The measured rate coefficient ratio </w:t>
      </w:r>
      <w:r>
        <w:rPr>
          <w:i/>
          <w:spacing w:val="-3"/>
          <w:sz w:val="24"/>
          <w:lang w:val="en-US"/>
        </w:rPr>
        <w:t>k</w:t>
      </w:r>
      <w:r>
        <w:rPr>
          <w:spacing w:val="-3"/>
          <w:sz w:val="24"/>
          <w:lang w:val="en-US"/>
        </w:rPr>
        <w:t>(Cl + HC(O)Cl)/</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 xml:space="preserve">Cl) = 1.4 </w:t>
      </w:r>
      <w:r>
        <w:rPr>
          <w:rFonts w:ascii="Symbol" w:hAnsi="Symbol"/>
          <w:spacing w:val="-3"/>
          <w:sz w:val="24"/>
          <w:lang w:val="en-US"/>
        </w:rPr>
        <w:t></w:t>
      </w:r>
      <w:r>
        <w:rPr>
          <w:spacing w:val="-3"/>
          <w:sz w:val="24"/>
          <w:lang w:val="en-US"/>
        </w:rPr>
        <w:t xml:space="preserve"> 0.2 is placed on an absolute basis using </w:t>
      </w:r>
      <w:r>
        <w:rPr>
          <w:i/>
          <w:spacing w:val="-3"/>
          <w:sz w:val="24"/>
          <w:lang w:val="en-US"/>
        </w:rPr>
        <w:t>k</w:t>
      </w:r>
      <w:r>
        <w:rPr>
          <w:spacing w:val="-3"/>
          <w:sz w:val="24"/>
          <w:lang w:val="en-US"/>
        </w:rPr>
        <w:t>(Cl + CH</w:t>
      </w:r>
      <w:r>
        <w:rPr>
          <w:spacing w:val="-3"/>
          <w:sz w:val="24"/>
          <w:vertAlign w:val="subscript"/>
          <w:lang w:val="en-US"/>
        </w:rPr>
        <w:t>3</w:t>
      </w:r>
      <w:r>
        <w:rPr>
          <w:spacing w:val="-3"/>
          <w:sz w:val="24"/>
          <w:lang w:val="en-US"/>
        </w:rPr>
        <w:t>Cl) = 4.8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2008).</w:t>
      </w:r>
    </w:p>
    <w:p>
      <w:pPr>
        <w:pStyle w:val="style0"/>
        <w:numPr>
          <w:ilvl w:val="0"/>
          <w:numId w:val="2"/>
        </w:numPr>
        <w:tabs>
          <w:tab w:leader="none" w:pos="1350" w:val="left"/>
          <w:tab w:leader="none" w:pos="2070" w:val="left"/>
        </w:tabs>
        <w:spacing w:line="240" w:lineRule="atLeast"/>
        <w:ind w:hanging="450" w:left="450" w:right="525"/>
        <w:jc w:val="both"/>
      </w:pPr>
      <w:r>
        <w:rPr>
          <w:spacing w:val="-3"/>
          <w:sz w:val="24"/>
          <w:lang w:val="en-US"/>
        </w:rPr>
        <w:t>Relative rate study. Cl atoms generated by the photolysis of Cl</w:t>
      </w:r>
      <w:r>
        <w:rPr>
          <w:spacing w:val="-3"/>
          <w:sz w:val="24"/>
          <w:vertAlign w:val="subscript"/>
          <w:lang w:val="en-US"/>
        </w:rPr>
        <w:t>2</w:t>
      </w:r>
      <w:r>
        <w:rPr>
          <w:spacing w:val="-3"/>
          <w:sz w:val="24"/>
          <w:lang w:val="en-US"/>
        </w:rPr>
        <w:t xml:space="preserve"> in Cl</w:t>
      </w:r>
      <w:r>
        <w:rPr>
          <w:spacing w:val="-3"/>
          <w:sz w:val="24"/>
          <w:vertAlign w:val="subscript"/>
          <w:lang w:val="en-US"/>
        </w:rPr>
        <w:t>2</w:t>
      </w:r>
      <w:r>
        <w:rPr>
          <w:spacing w:val="-3"/>
          <w:sz w:val="24"/>
          <w:lang w:val="en-US"/>
        </w:rPr>
        <w:t>-CH</w:t>
      </w:r>
      <w:r>
        <w:rPr>
          <w:spacing w:val="-3"/>
          <w:sz w:val="24"/>
          <w:vertAlign w:val="subscript"/>
          <w:lang w:val="en-US"/>
        </w:rPr>
        <w:t>2</w:t>
      </w:r>
      <w:r>
        <w:rPr>
          <w:spacing w:val="-3"/>
          <w:sz w:val="24"/>
          <w:lang w:val="en-US"/>
        </w:rPr>
        <w:t>Cl</w:t>
      </w:r>
      <w:r>
        <w:rPr>
          <w:spacing w:val="-3"/>
          <w:sz w:val="24"/>
          <w:vertAlign w:val="subscript"/>
          <w:lang w:val="en-US"/>
        </w:rPr>
        <w:t>2</w:t>
      </w:r>
      <w:r>
        <w:rPr>
          <w:spacing w:val="-3"/>
          <w:sz w:val="24"/>
          <w:lang w:val="en-US"/>
        </w:rPr>
        <w:t>-air mixtures at 933 mbar total pressure. The concentrations of HC(O)Cl and CH</w:t>
      </w:r>
      <w:r>
        <w:rPr>
          <w:spacing w:val="-3"/>
          <w:sz w:val="24"/>
          <w:vertAlign w:val="subscript"/>
          <w:lang w:val="en-US"/>
        </w:rPr>
        <w:t>2</w:t>
      </w:r>
      <w:r>
        <w:rPr>
          <w:spacing w:val="-3"/>
          <w:sz w:val="24"/>
          <w:lang w:val="en-US"/>
        </w:rPr>
        <w:t>Cl</w:t>
      </w:r>
      <w:r>
        <w:rPr>
          <w:spacing w:val="-3"/>
          <w:sz w:val="24"/>
          <w:vertAlign w:val="subscript"/>
          <w:lang w:val="en-US"/>
        </w:rPr>
        <w:t>2</w:t>
      </w:r>
      <w:r>
        <w:rPr>
          <w:spacing w:val="-3"/>
          <w:sz w:val="24"/>
          <w:lang w:val="en-US"/>
        </w:rPr>
        <w:t xml:space="preserve"> were measured by FTIR absorption spectroscopy.  The measured rate coefficient ratio </w:t>
      </w:r>
      <w:r>
        <w:rPr>
          <w:i/>
          <w:spacing w:val="-3"/>
          <w:sz w:val="24"/>
          <w:lang w:val="en-US"/>
        </w:rPr>
        <w:t>k</w:t>
      </w:r>
      <w:r>
        <w:rPr>
          <w:spacing w:val="-3"/>
          <w:sz w:val="24"/>
          <w:lang w:val="en-US"/>
        </w:rPr>
        <w:t>(Cl + HC(O)Cl)/</w:t>
      </w:r>
      <w:r>
        <w:rPr>
          <w:i/>
          <w:spacing w:val="-3"/>
          <w:sz w:val="24"/>
          <w:lang w:val="en-US"/>
        </w:rPr>
        <w:t>k</w:t>
      </w:r>
      <w:r>
        <w:rPr>
          <w:spacing w:val="-3"/>
          <w:sz w:val="24"/>
          <w:lang w:val="en-US"/>
        </w:rPr>
        <w:t>(Cl + CH</w:t>
      </w:r>
      <w:r>
        <w:rPr>
          <w:spacing w:val="-3"/>
          <w:sz w:val="24"/>
          <w:vertAlign w:val="subscript"/>
          <w:lang w:val="en-US"/>
        </w:rPr>
        <w:t>2</w:t>
      </w:r>
      <w:r>
        <w:rPr>
          <w:spacing w:val="-3"/>
          <w:sz w:val="24"/>
          <w:lang w:val="en-US"/>
        </w:rPr>
        <w:t>Cl</w:t>
      </w:r>
      <w:r>
        <w:rPr>
          <w:spacing w:val="-3"/>
          <w:sz w:val="24"/>
          <w:vertAlign w:val="subscript"/>
          <w:lang w:val="en-US"/>
        </w:rPr>
        <w:t>2</w:t>
      </w:r>
      <w:r>
        <w:rPr>
          <w:spacing w:val="-3"/>
          <w:sz w:val="24"/>
          <w:lang w:val="en-US"/>
        </w:rPr>
        <w:t xml:space="preserve">) = 2.0 </w:t>
      </w:r>
      <w:r>
        <w:rPr>
          <w:rFonts w:ascii="Symbol" w:hAnsi="Symbol"/>
          <w:spacing w:val="-3"/>
          <w:sz w:val="24"/>
          <w:lang w:val="en-US"/>
        </w:rPr>
        <w:t></w:t>
      </w:r>
      <w:r>
        <w:rPr>
          <w:spacing w:val="-3"/>
          <w:sz w:val="24"/>
          <w:lang w:val="en-US"/>
        </w:rPr>
        <w:t xml:space="preserve"> 0.2 is placed on an absolute basis using </w:t>
      </w:r>
      <w:r>
        <w:rPr>
          <w:i/>
          <w:spacing w:val="-3"/>
          <w:sz w:val="24"/>
          <w:lang w:val="en-US"/>
        </w:rPr>
        <w:t>k</w:t>
      </w:r>
      <w:r>
        <w:rPr>
          <w:spacing w:val="-3"/>
          <w:sz w:val="24"/>
          <w:lang w:val="en-US"/>
        </w:rPr>
        <w:t>(Cl + CH</w:t>
      </w:r>
      <w:r>
        <w:rPr>
          <w:spacing w:val="-3"/>
          <w:sz w:val="24"/>
          <w:vertAlign w:val="subscript"/>
          <w:lang w:val="en-US"/>
        </w:rPr>
        <w:t>2</w:t>
      </w:r>
      <w:r>
        <w:rPr>
          <w:spacing w:val="-3"/>
          <w:sz w:val="24"/>
          <w:lang w:val="en-US"/>
        </w:rPr>
        <w:t>Cl</w:t>
      </w:r>
      <w:r>
        <w:rPr>
          <w:spacing w:val="-3"/>
          <w:sz w:val="24"/>
          <w:vertAlign w:val="subscript"/>
          <w:lang w:val="en-US"/>
        </w:rPr>
        <w:t>2</w:t>
      </w:r>
      <w:r>
        <w:rPr>
          <w:spacing w:val="-3"/>
          <w:sz w:val="24"/>
          <w:lang w:val="en-US"/>
        </w:rPr>
        <w:t>) = 3.4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2008).</w:t>
      </w:r>
    </w:p>
    <w:p>
      <w:pPr>
        <w:pStyle w:val="style0"/>
        <w:numPr>
          <w:ilvl w:val="0"/>
          <w:numId w:val="2"/>
        </w:numPr>
        <w:tabs>
          <w:tab w:leader="none" w:pos="0" w:val="left"/>
          <w:tab w:leader="none" w:pos="720" w:val="left"/>
        </w:tabs>
        <w:spacing w:line="240" w:lineRule="atLeast"/>
        <w:jc w:val="both"/>
      </w:pPr>
      <w:r>
        <w:rPr>
          <w:spacing w:val="-3"/>
          <w:sz w:val="24"/>
          <w:lang w:val="en-US"/>
        </w:rPr>
        <w:t xml:space="preserve">Temperature dependent rate coefficient ratios of </w:t>
      </w:r>
      <w:r>
        <w:rPr>
          <w:i/>
          <w:spacing w:val="-3"/>
          <w:sz w:val="24"/>
          <w:lang w:val="en-US"/>
        </w:rPr>
        <w:t>k</w:t>
      </w:r>
      <w:r>
        <w:rPr>
          <w:spacing w:val="-3"/>
          <w:sz w:val="24"/>
          <w:lang w:val="en-US"/>
        </w:rPr>
        <w:t>(Cl + HC(O)Cl)/</w:t>
      </w:r>
      <w:r>
        <w:rPr>
          <w:i/>
          <w:spacing w:val="-3"/>
          <w:sz w:val="24"/>
          <w:lang w:val="en-US"/>
        </w:rPr>
        <w:t>k</w:t>
      </w:r>
      <w:r>
        <w:rPr>
          <w:spacing w:val="-3"/>
          <w:sz w:val="24"/>
          <w:lang w:val="en-US"/>
        </w:rPr>
        <w:t>(Cl + CH</w:t>
      </w:r>
      <w:r>
        <w:rPr>
          <w:spacing w:val="-3"/>
          <w:sz w:val="24"/>
          <w:vertAlign w:val="subscript"/>
          <w:lang w:val="en-US"/>
        </w:rPr>
        <w:t>2</w:t>
      </w:r>
      <w:r>
        <w:rPr>
          <w:spacing w:val="-3"/>
          <w:sz w:val="24"/>
          <w:lang w:val="en-US"/>
        </w:rPr>
        <w:t>Cl</w:t>
      </w:r>
      <w:r>
        <w:rPr>
          <w:spacing w:val="-3"/>
          <w:sz w:val="24"/>
          <w:vertAlign w:val="subscript"/>
          <w:lang w:val="en-US"/>
        </w:rPr>
        <w:t>2</w:t>
      </w:r>
      <w:r>
        <w:rPr>
          <w:spacing w:val="-3"/>
          <w:sz w:val="24"/>
          <w:lang w:val="en-US"/>
        </w:rPr>
        <w:t>) were derived from the kinetic analysis of HC(O)Cl in Cl atom-sensitized oxidation of CH</w:t>
      </w:r>
      <w:r>
        <w:rPr>
          <w:spacing w:val="-3"/>
          <w:sz w:val="24"/>
          <w:vertAlign w:val="subscript"/>
          <w:lang w:val="en-US"/>
        </w:rPr>
        <w:t>2</w:t>
      </w:r>
      <w:r>
        <w:rPr>
          <w:spacing w:val="-3"/>
          <w:sz w:val="24"/>
          <w:lang w:val="en-US"/>
        </w:rPr>
        <w:t>Cl</w:t>
      </w:r>
      <w:r>
        <w:rPr>
          <w:spacing w:val="-3"/>
          <w:sz w:val="24"/>
          <w:vertAlign w:val="subscript"/>
          <w:lang w:val="en-US"/>
        </w:rPr>
        <w:t>2</w:t>
      </w:r>
      <w:r>
        <w:rPr>
          <w:spacing w:val="-3"/>
          <w:sz w:val="24"/>
          <w:lang w:val="en-US"/>
        </w:rPr>
        <w:t xml:space="preserve">. Placed on an absolute basis by use of </w:t>
      </w:r>
      <w:r>
        <w:rPr>
          <w:i/>
          <w:spacing w:val="-3"/>
          <w:sz w:val="24"/>
          <w:lang w:val="en-US"/>
        </w:rPr>
        <w:t>k</w:t>
      </w:r>
      <w:r>
        <w:rPr>
          <w:spacing w:val="-3"/>
          <w:sz w:val="24"/>
          <w:lang w:val="en-US"/>
        </w:rPr>
        <w:t>(Cl + CH</w:t>
      </w:r>
      <w:r>
        <w:rPr>
          <w:spacing w:val="-3"/>
          <w:sz w:val="24"/>
          <w:vertAlign w:val="subscript"/>
          <w:lang w:val="en-US"/>
        </w:rPr>
        <w:t>2</w:t>
      </w:r>
      <w:r>
        <w:rPr>
          <w:spacing w:val="-3"/>
          <w:sz w:val="24"/>
          <w:lang w:val="en-US"/>
        </w:rPr>
        <w:t>Cl</w:t>
      </w:r>
      <w:r>
        <w:rPr>
          <w:spacing w:val="-3"/>
          <w:sz w:val="24"/>
          <w:vertAlign w:val="subscript"/>
          <w:lang w:val="en-US"/>
        </w:rPr>
        <w:t>2</w:t>
      </w:r>
      <w:r>
        <w:rPr>
          <w:spacing w:val="-3"/>
          <w:sz w:val="24"/>
          <w:lang w:val="en-US"/>
        </w:rPr>
        <w:t>) = 5.9 x 10</w:t>
      </w:r>
      <w:r>
        <w:rPr>
          <w:spacing w:val="-3"/>
          <w:sz w:val="24"/>
          <w:vertAlign w:val="superscript"/>
          <w:lang w:val="en-US"/>
        </w:rPr>
        <w:t>-12</w:t>
      </w:r>
      <w:r>
        <w:rPr>
          <w:spacing w:val="-3"/>
          <w:sz w:val="24"/>
          <w:lang w:val="en-US"/>
        </w:rPr>
        <w:t xml:space="preserve"> exp (-850/</w:t>
      </w:r>
      <w:r>
        <w:rPr>
          <w:i/>
          <w:spacing w:val="-3"/>
          <w:sz w:val="24"/>
          <w:lang w:val="en-US"/>
        </w:rPr>
        <w:t>T</w:t>
      </w:r>
      <w:r>
        <w:rPr>
          <w:spacing w:val="-3"/>
          <w:sz w:val="24"/>
          <w:lang w:val="en-US"/>
        </w:rPr>
        <w:t>)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(Atkinson et al., 2008). The value of </w:t>
      </w:r>
      <w:r>
        <w:rPr>
          <w:i/>
          <w:spacing w:val="-3"/>
          <w:sz w:val="24"/>
          <w:lang w:val="en-US"/>
        </w:rPr>
        <w:t>k</w:t>
      </w:r>
      <w:r>
        <w:rPr>
          <w:spacing w:val="-3"/>
          <w:sz w:val="24"/>
          <w:lang w:val="en-US"/>
        </w:rPr>
        <w:t xml:space="preserve"> at 298 K was taken from the Arrhenius expression presented.</w:t>
      </w:r>
    </w:p>
    <w:p>
      <w:pPr>
        <w:pStyle w:val="style0"/>
        <w:tabs>
          <w:tab w:leader="none" w:pos="4680" w:val="center"/>
        </w:tabs>
        <w:spacing w:line="240" w:lineRule="atLeast"/>
        <w:jc w:val="center"/>
      </w:pPr>
      <w:r>
        <w:rPr/>
      </w:r>
    </w:p>
    <w:p>
      <w:pPr>
        <w:pStyle w:val="style0"/>
        <w:tabs>
          <w:tab w:leader="none" w:pos="4680" w:val="center"/>
        </w:tabs>
        <w:spacing w:line="240" w:lineRule="atLeast"/>
        <w:jc w:val="center"/>
      </w:pPr>
      <w:r>
        <w:rPr>
          <w:b/>
          <w:bCs/>
          <w:spacing w:val="-3"/>
          <w:sz w:val="24"/>
          <w:szCs w:val="24"/>
          <w:lang w:val="en-US"/>
        </w:rPr>
        <w:t>Preferred Values</w:t>
      </w:r>
    </w:p>
    <w:p>
      <w:pPr>
        <w:pStyle w:val="style0"/>
      </w:pPr>
      <w:r>
        <w:rPr/>
      </w:r>
    </w:p>
    <w:tbl>
      <w:tblPr>
        <w:jc w:val="left"/>
        <w:tblInd w:type="dxa" w:w="1020"/>
        <w:tblBorders>
          <w:top w:color="000001" w:space="0" w:sz="4" w:val="single"/>
          <w:left w:val="none"/>
          <w:bottom w:color="000001" w:space="0" w:sz="4" w:val="single"/>
          <w:insideH w:color="000001" w:space="0" w:sz="4" w:val="single"/>
          <w:right w:val="none"/>
          <w:insideV w:val="none"/>
        </w:tblBorders>
        <w:tblCellMar>
          <w:top w:type="dxa" w:w="0"/>
          <w:left w:type="dxa" w:w="108"/>
          <w:bottom w:type="dxa" w:w="0"/>
          <w:right w:type="dxa" w:w="108"/>
        </w:tblCellMar>
      </w:tblPr>
      <w:tblGrid>
        <w:gridCol w:w="3082"/>
        <w:gridCol w:w="3194"/>
        <w:gridCol w:w="2007"/>
      </w:tblGrid>
      <w:tr>
        <w:trPr>
          <w:cantSplit w:val="false"/>
        </w:trPr>
        <w:tc>
          <w:tcPr>
            <w:tcW w:type="dxa" w:w="3082"/>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szCs w:val="24"/>
              </w:rPr>
              <w:t>Parameter</w:t>
            </w:r>
          </w:p>
        </w:tc>
        <w:tc>
          <w:tcPr>
            <w:tcW w:type="dxa" w:w="3194"/>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spacing w:val="-3"/>
                <w:sz w:val="24"/>
                <w:szCs w:val="24"/>
              </w:rPr>
              <w:t>Value</w:t>
            </w:r>
          </w:p>
        </w:tc>
        <w:tc>
          <w:tcPr>
            <w:tcW w:type="dxa" w:w="2007"/>
            <w:tcBorders>
              <w:top w:color="000001" w:space="0" w:sz="4" w:val="singl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b/>
                <w:i/>
                <w:iCs/>
                <w:spacing w:val="-3"/>
                <w:sz w:val="24"/>
                <w:szCs w:val="24"/>
              </w:rPr>
              <w:t>T</w:t>
            </w:r>
            <w:r>
              <w:rPr>
                <w:b/>
                <w:spacing w:val="-3"/>
                <w:sz w:val="24"/>
                <w:szCs w:val="24"/>
              </w:rPr>
              <w:t>/K</w:t>
            </w:r>
          </w:p>
        </w:tc>
      </w:tr>
      <w:tr>
        <w:trPr>
          <w:cantSplit w:val="false"/>
        </w:trPr>
        <w:tc>
          <w:tcPr>
            <w:tcW w:type="dxa" w:w="3082"/>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
          </w:p>
        </w:tc>
        <w:tc>
          <w:tcPr>
            <w:tcW w:type="dxa" w:w="3194"/>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pPr>
            <w:r>
              <w:rPr/>
            </w:r>
          </w:p>
        </w:tc>
        <w:tc>
          <w:tcPr>
            <w:tcW w:type="dxa" w:w="2007"/>
            <w:tcBorders>
              <w:top w:color="000001" w:space="0" w:sz="4" w:val="singl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
          </w:p>
        </w:tc>
      </w:tr>
      <w:tr>
        <w:trPr>
          <w:cantSplit w:val="false"/>
        </w:trPr>
        <w:tc>
          <w:tcPr>
            <w:tcW w:type="dxa" w:w="3082"/>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szCs w:val="24"/>
              </w:rPr>
              <w:t>k</w:t>
            </w:r>
            <w:r>
              <w:rPr>
                <w:spacing w:val="-3"/>
                <w:sz w:val="24"/>
                <w:szCs w:val="24"/>
              </w:rPr>
              <w:t xml:space="preserve"> /cm</w:t>
            </w:r>
            <w:r>
              <w:rPr>
                <w:spacing w:val="-3"/>
                <w:sz w:val="24"/>
                <w:szCs w:val="24"/>
                <w:vertAlign w:val="superscript"/>
              </w:rPr>
              <w:t>3</w:t>
            </w:r>
            <w:r>
              <w:rPr>
                <w:spacing w:val="-3"/>
                <w:sz w:val="24"/>
                <w:szCs w:val="24"/>
              </w:rPr>
              <w:t xml:space="preserve"> molecule</w:t>
            </w:r>
            <w:r>
              <w:rPr>
                <w:spacing w:val="-3"/>
                <w:sz w:val="24"/>
                <w:szCs w:val="24"/>
                <w:vertAlign w:val="superscript"/>
              </w:rPr>
              <w:t>-1</w:t>
            </w:r>
            <w:r>
              <w:rPr>
                <w:spacing w:val="-3"/>
                <w:sz w:val="24"/>
                <w:szCs w:val="24"/>
              </w:rPr>
              <w:t xml:space="preserve"> s</w:t>
            </w:r>
            <w:r>
              <w:rPr>
                <w:spacing w:val="-3"/>
                <w:sz w:val="24"/>
                <w:szCs w:val="24"/>
                <w:vertAlign w:val="superscript"/>
              </w:rPr>
              <w:t>-1</w:t>
            </w:r>
          </w:p>
        </w:tc>
        <w:tc>
          <w:tcPr>
            <w:tcW w:type="dxa" w:w="319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7.5 x 10</w:t>
            </w:r>
            <w:r>
              <w:rPr>
                <w:spacing w:val="-3"/>
                <w:sz w:val="24"/>
                <w:vertAlign w:val="superscript"/>
                <w:lang w:val="en-US"/>
              </w:rPr>
              <w:t>-13</w:t>
            </w:r>
          </w:p>
        </w:tc>
        <w:tc>
          <w:tcPr>
            <w:tcW w:type="dxa" w:w="2007"/>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lang w:val="en-US"/>
              </w:rPr>
              <w:t>298</w:t>
            </w:r>
          </w:p>
        </w:tc>
      </w:tr>
      <w:tr>
        <w:trPr>
          <w:cantSplit w:val="false"/>
        </w:trPr>
        <w:tc>
          <w:tcPr>
            <w:tcW w:type="dxa" w:w="3082"/>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i/>
                <w:spacing w:val="-3"/>
                <w:sz w:val="24"/>
                <w:szCs w:val="24"/>
              </w:rPr>
              <w:t>k</w:t>
            </w:r>
            <w:r>
              <w:rPr>
                <w:spacing w:val="-3"/>
                <w:sz w:val="24"/>
                <w:szCs w:val="24"/>
              </w:rPr>
              <w:t xml:space="preserve"> /cm</w:t>
            </w:r>
            <w:r>
              <w:rPr>
                <w:spacing w:val="-3"/>
                <w:sz w:val="24"/>
                <w:szCs w:val="24"/>
                <w:vertAlign w:val="superscript"/>
              </w:rPr>
              <w:t>3</w:t>
            </w:r>
            <w:r>
              <w:rPr>
                <w:spacing w:val="-3"/>
                <w:sz w:val="24"/>
                <w:szCs w:val="24"/>
              </w:rPr>
              <w:t xml:space="preserve"> molecule</w:t>
            </w:r>
            <w:r>
              <w:rPr>
                <w:spacing w:val="-3"/>
                <w:sz w:val="24"/>
                <w:szCs w:val="24"/>
                <w:vertAlign w:val="superscript"/>
              </w:rPr>
              <w:t>-1</w:t>
            </w:r>
            <w:r>
              <w:rPr>
                <w:spacing w:val="-3"/>
                <w:sz w:val="24"/>
                <w:szCs w:val="24"/>
              </w:rPr>
              <w:t xml:space="preserve"> s</w:t>
            </w:r>
            <w:r>
              <w:rPr>
                <w:spacing w:val="-3"/>
                <w:sz w:val="24"/>
                <w:szCs w:val="24"/>
                <w:vertAlign w:val="superscript"/>
              </w:rPr>
              <w:t>-1</w:t>
            </w:r>
          </w:p>
        </w:tc>
        <w:tc>
          <w:tcPr>
            <w:tcW w:type="dxa" w:w="3194"/>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1.12 x 10</w:t>
            </w:r>
            <w:r>
              <w:rPr>
                <w:spacing w:val="-3"/>
                <w:sz w:val="24"/>
                <w:vertAlign w:val="superscript"/>
                <w:lang w:val="en-US"/>
              </w:rPr>
              <w:t>-12</w:t>
            </w:r>
            <w:r>
              <w:rPr>
                <w:spacing w:val="-3"/>
                <w:sz w:val="24"/>
                <w:lang w:val="en-US"/>
              </w:rPr>
              <w:t xml:space="preserve"> exp(-805 /</w:t>
            </w:r>
            <w:r>
              <w:rPr>
                <w:i/>
                <w:spacing w:val="-3"/>
                <w:sz w:val="24"/>
                <w:lang w:val="en-US"/>
              </w:rPr>
              <w:t>T</w:t>
            </w:r>
            <w:r>
              <w:rPr>
                <w:spacing w:val="-3"/>
                <w:sz w:val="24"/>
                <w:lang w:val="en-US"/>
              </w:rPr>
              <w:t>)</w:t>
            </w:r>
          </w:p>
        </w:tc>
        <w:tc>
          <w:tcPr>
            <w:tcW w:type="dxa" w:w="2007"/>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lang w:val="en-US"/>
              </w:rPr>
              <w:t>220-330</w:t>
            </w:r>
          </w:p>
        </w:tc>
      </w:tr>
    </w:tbl>
    <w:p>
      <w:pPr>
        <w:pStyle w:val="style0"/>
        <w:tabs>
          <w:tab w:leader="none" w:pos="-1440" w:val="left"/>
          <w:tab w:leader="none" w:pos="-720" w:val="left"/>
          <w:tab w:leader="none" w:pos="444" w:val="left"/>
        </w:tabs>
        <w:jc w:val="center"/>
      </w:pPr>
      <w:r>
        <w:rPr/>
      </w:r>
    </w:p>
    <w:p>
      <w:pPr>
        <w:pStyle w:val="style0"/>
        <w:tabs>
          <w:tab w:leader="none" w:pos="2697" w:val="left"/>
          <w:tab w:leader="none" w:pos="3141" w:val="left"/>
          <w:tab w:leader="none" w:pos="3417" w:val="left"/>
        </w:tabs>
        <w:spacing w:line="240" w:lineRule="atLeast"/>
        <w:ind w:hanging="0" w:left="899" w:right="0"/>
      </w:pPr>
      <w:r>
        <w:rPr>
          <w:i/>
          <w:spacing w:val="-3"/>
          <w:sz w:val="24"/>
          <w:szCs w:val="24"/>
        </w:rPr>
        <w:t>Reliability</w:t>
      </w:r>
    </w:p>
    <w:tbl>
      <w:tblPr>
        <w:jc w:val="left"/>
        <w:tblInd w:type="dxa" w:w="1020"/>
        <w:tblBorders>
          <w:top w:val="none"/>
          <w:left w:val="none"/>
          <w:bottom w:val="none"/>
          <w:insideH w:val="none"/>
          <w:right w:val="none"/>
          <w:insideV w:val="none"/>
        </w:tblBorders>
        <w:tblCellMar>
          <w:top w:type="dxa" w:w="0"/>
          <w:left w:type="dxa" w:w="108"/>
          <w:bottom w:type="dxa" w:w="0"/>
          <w:right w:type="dxa" w:w="108"/>
        </w:tblCellMar>
      </w:tblPr>
      <w:tblGrid>
        <w:gridCol w:w="3083"/>
        <w:gridCol w:w="3208"/>
        <w:gridCol w:w="1977"/>
      </w:tblGrid>
      <w:tr>
        <w:trPr>
          <w:cantSplit w:val="false"/>
        </w:trPr>
        <w:tc>
          <w:tcPr>
            <w:tcW w:type="dxa" w:w="3083"/>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3"/>
                <w:sz w:val="24"/>
                <w:szCs w:val="24"/>
              </w:rPr>
              <w:t></w:t>
            </w:r>
            <w:r>
              <w:rPr>
                <w:spacing w:val="-3"/>
                <w:sz w:val="24"/>
                <w:szCs w:val="24"/>
              </w:rPr>
              <w:t xml:space="preserve"> </w:t>
            </w:r>
            <w:r>
              <w:rPr>
                <w:spacing w:val="-3"/>
                <w:sz w:val="24"/>
                <w:szCs w:val="24"/>
              </w:rPr>
              <w:t>log</w:t>
            </w:r>
            <w:r>
              <w:rPr>
                <w:i/>
                <w:spacing w:val="-3"/>
                <w:sz w:val="24"/>
                <w:szCs w:val="24"/>
              </w:rPr>
              <w:t xml:space="preserve"> k</w:t>
            </w:r>
          </w:p>
        </w:tc>
        <w:tc>
          <w:tcPr>
            <w:tcW w:type="dxa" w:w="3208"/>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rPr>
              <w:t>± 0.08</w:t>
            </w:r>
          </w:p>
        </w:tc>
        <w:tc>
          <w:tcPr>
            <w:tcW w:type="dxa" w:w="1977"/>
            <w:tcBorders>
              <w:top w:val="none"/>
              <w:left w:val="none"/>
              <w:bottom w:val="non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lang w:val="en-US"/>
              </w:rPr>
              <w:t>298</w:t>
            </w:r>
          </w:p>
        </w:tc>
      </w:tr>
      <w:tr>
        <w:trPr>
          <w:cantSplit w:val="false"/>
        </w:trPr>
        <w:tc>
          <w:tcPr>
            <w:tcW w:type="dxa" w:w="3083"/>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spacing w:val="-3"/>
                <w:sz w:val="24"/>
                <w:szCs w:val="24"/>
                <w:lang w:val="en-US"/>
              </w:rPr>
              <w:t>Δ(</w:t>
            </w:r>
            <w:r>
              <w:rPr>
                <w:i/>
                <w:iCs/>
                <w:spacing w:val="-3"/>
                <w:sz w:val="24"/>
                <w:szCs w:val="24"/>
                <w:lang w:val="en-US"/>
              </w:rPr>
              <w:t>E</w:t>
            </w:r>
            <w:r>
              <w:rPr>
                <w:spacing w:val="-3"/>
                <w:sz w:val="24"/>
                <w:szCs w:val="24"/>
                <w:lang w:val="en-US"/>
              </w:rPr>
              <w:t>/</w:t>
            </w:r>
            <w:r>
              <w:rPr>
                <w:i/>
                <w:iCs/>
                <w:spacing w:val="-3"/>
                <w:sz w:val="24"/>
                <w:szCs w:val="24"/>
                <w:lang w:val="en-US"/>
              </w:rPr>
              <w:t>R</w:t>
            </w:r>
            <w:r>
              <w:rPr>
                <w:spacing w:val="-3"/>
                <w:sz w:val="24"/>
                <w:szCs w:val="24"/>
                <w:lang w:val="en-US"/>
              </w:rPr>
              <w:t>)</w:t>
            </w:r>
          </w:p>
        </w:tc>
        <w:tc>
          <w:tcPr>
            <w:tcW w:type="dxa" w:w="3208"/>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rFonts w:ascii="Symbol" w:hAnsi="Symbol"/>
                <w:spacing w:val="-2"/>
                <w:sz w:val="24"/>
                <w:szCs w:val="24"/>
                <w:lang w:val="en-US"/>
              </w:rPr>
              <w:t></w:t>
            </w:r>
            <w:r>
              <w:rPr>
                <w:spacing w:val="-2"/>
                <w:sz w:val="24"/>
                <w:szCs w:val="24"/>
                <w:lang w:val="en-US"/>
              </w:rPr>
              <w:t xml:space="preserve"> </w:t>
            </w:r>
            <w:r>
              <w:rPr>
                <w:spacing w:val="-3"/>
                <w:sz w:val="24"/>
              </w:rPr>
              <w:t>150</w:t>
            </w:r>
          </w:p>
        </w:tc>
        <w:tc>
          <w:tcPr>
            <w:tcW w:type="dxa" w:w="1977"/>
            <w:tcBorders>
              <w:top w:val="none"/>
              <w:left w:val="none"/>
              <w:bottom w:color="000001" w:space="0" w:sz="4" w:val="single"/>
              <w:right w:val="none"/>
            </w:tcBorders>
            <w:shd w:fill="FFFFFF" w:val="clear"/>
          </w:tcPr>
          <w:p>
            <w:pPr>
              <w:pStyle w:val="style0"/>
              <w:tabs>
                <w:tab w:leader="none" w:pos="0" w:val="left"/>
                <w:tab w:leader="none" w:pos="444" w:val="left"/>
                <w:tab w:leader="none" w:pos="720" w:val="left"/>
              </w:tabs>
              <w:spacing w:line="240" w:lineRule="atLeast"/>
              <w:jc w:val="center"/>
            </w:pPr>
            <w:r>
              <w:rPr/>
            </w:r>
          </w:p>
        </w:tc>
      </w:tr>
    </w:tbl>
    <w:p>
      <w:pPr>
        <w:pStyle w:val="style0"/>
        <w:tabs>
          <w:tab w:leader="none" w:pos="0" w:val="left"/>
          <w:tab w:leader="none" w:pos="444" w:val="left"/>
          <w:tab w:leader="none" w:pos="720" w:val="left"/>
        </w:tabs>
        <w:spacing w:line="240" w:lineRule="atLeast"/>
        <w:jc w:val="both"/>
      </w:pPr>
      <w:r>
        <w:rPr/>
      </w:r>
    </w:p>
    <w:p>
      <w:pPr>
        <w:pStyle w:val="style0"/>
        <w:tabs>
          <w:tab w:leader="none" w:pos="4680" w:val="center"/>
        </w:tabs>
        <w:spacing w:line="240" w:lineRule="atLeast"/>
        <w:jc w:val="center"/>
      </w:pPr>
      <w:r>
        <w:rPr>
          <w:b/>
          <w:spacing w:val="-3"/>
          <w:sz w:val="24"/>
          <w:lang w:val="en-US"/>
        </w:rPr>
        <w:t>Preferred Values</w:t>
      </w:r>
    </w:p>
    <w:p>
      <w:pPr>
        <w:pStyle w:val="style0"/>
        <w:tabs>
          <w:tab w:leader="none" w:pos="0" w:val="left"/>
          <w:tab w:leader="none" w:pos="444" w:val="left"/>
          <w:tab w:leader="none" w:pos="720" w:val="left"/>
        </w:tabs>
        <w:spacing w:line="240" w:lineRule="atLeast"/>
        <w:jc w:val="both"/>
      </w:pPr>
      <w:r>
        <w:rPr/>
      </w:r>
    </w:p>
    <w:p>
      <w:pPr>
        <w:pStyle w:val="style0"/>
        <w:tabs>
          <w:tab w:leader="none" w:pos="0" w:val="left"/>
          <w:tab w:leader="none" w:pos="444" w:val="left"/>
          <w:tab w:leader="none" w:pos="720" w:val="left"/>
        </w:tabs>
        <w:spacing w:line="240" w:lineRule="atLeast"/>
        <w:jc w:val="both"/>
      </w:pPr>
      <w:r>
        <w:rPr>
          <w:i/>
          <w:spacing w:val="-3"/>
          <w:sz w:val="24"/>
          <w:lang w:val="en-US"/>
        </w:rPr>
        <w:tab/>
        <w:t>k</w:t>
      </w:r>
      <w:r>
        <w:rPr>
          <w:spacing w:val="-3"/>
          <w:sz w:val="24"/>
          <w:lang w:val="en-US"/>
        </w:rPr>
        <w:t xml:space="preserve"> =  7.5 x 10</w:t>
      </w:r>
      <w:r>
        <w:rPr>
          <w:spacing w:val="-3"/>
          <w:sz w:val="24"/>
          <w:vertAlign w:val="superscript"/>
          <w:lang w:val="en-US"/>
        </w:rPr>
        <w:t>-13</w:t>
      </w:r>
      <w:r>
        <w:rPr>
          <w:spacing w:val="-3"/>
          <w:sz w:val="24"/>
          <w:lang w:val="en-US"/>
        </w:rPr>
        <w:t xml:space="preserve">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at 298 K.</w:t>
      </w:r>
    </w:p>
    <w:p>
      <w:pPr>
        <w:pStyle w:val="style0"/>
        <w:tabs>
          <w:tab w:leader="none" w:pos="0" w:val="left"/>
          <w:tab w:leader="none" w:pos="444" w:val="left"/>
          <w:tab w:leader="none" w:pos="720" w:val="left"/>
        </w:tabs>
        <w:spacing w:line="240" w:lineRule="atLeast"/>
        <w:jc w:val="both"/>
      </w:pPr>
      <w:r>
        <w:rPr>
          <w:i/>
          <w:spacing w:val="-3"/>
          <w:sz w:val="24"/>
          <w:lang w:val="en-US"/>
        </w:rPr>
        <w:tab/>
        <w:t>k</w:t>
      </w:r>
      <w:r>
        <w:rPr>
          <w:spacing w:val="-3"/>
          <w:sz w:val="24"/>
          <w:lang w:val="en-US"/>
        </w:rPr>
        <w:t xml:space="preserve"> =  1.12 x 10</w:t>
      </w:r>
      <w:r>
        <w:rPr>
          <w:spacing w:val="-3"/>
          <w:sz w:val="24"/>
          <w:vertAlign w:val="superscript"/>
          <w:lang w:val="en-US"/>
        </w:rPr>
        <w:t>-12</w:t>
      </w:r>
      <w:r>
        <w:rPr>
          <w:spacing w:val="-3"/>
          <w:sz w:val="24"/>
          <w:lang w:val="en-US"/>
        </w:rPr>
        <w:t xml:space="preserve"> exp(-805 /</w:t>
      </w:r>
      <w:r>
        <w:rPr>
          <w:i/>
          <w:spacing w:val="-3"/>
          <w:sz w:val="24"/>
          <w:lang w:val="en-US"/>
        </w:rPr>
        <w:t>T</w:t>
      </w:r>
      <w:r>
        <w:rPr>
          <w:spacing w:val="-3"/>
          <w:sz w:val="24"/>
          <w:lang w:val="en-US"/>
        </w:rPr>
        <w:t>)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 xml:space="preserve"> over the temperature range 220-330 K.</w:t>
      </w:r>
    </w:p>
    <w:p>
      <w:pPr>
        <w:pStyle w:val="style0"/>
        <w:tabs>
          <w:tab w:leader="none" w:pos="0" w:val="left"/>
          <w:tab w:leader="none" w:pos="444" w:val="left"/>
          <w:tab w:leader="none" w:pos="720" w:val="left"/>
        </w:tabs>
        <w:spacing w:line="240" w:lineRule="atLeast"/>
        <w:jc w:val="both"/>
      </w:pPr>
      <w:r>
        <w:rPr/>
      </w:r>
    </w:p>
    <w:p>
      <w:pPr>
        <w:pStyle w:val="style0"/>
        <w:tabs>
          <w:tab w:leader="none" w:pos="0" w:val="left"/>
          <w:tab w:leader="none" w:pos="444" w:val="left"/>
          <w:tab w:leader="none" w:pos="720" w:val="left"/>
        </w:tabs>
        <w:spacing w:line="240" w:lineRule="atLeast"/>
        <w:jc w:val="both"/>
      </w:pPr>
      <w:r>
        <w:rPr>
          <w:i/>
          <w:spacing w:val="-3"/>
          <w:sz w:val="24"/>
          <w:lang w:val="en-US"/>
        </w:rPr>
        <w:t>Reliability</w:t>
      </w:r>
    </w:p>
    <w:p>
      <w:pPr>
        <w:pStyle w:val="style0"/>
        <w:tabs>
          <w:tab w:leader="none" w:pos="0" w:val="left"/>
          <w:tab w:leader="none" w:pos="444" w:val="left"/>
          <w:tab w:leader="none" w:pos="720" w:val="left"/>
        </w:tabs>
        <w:spacing w:line="240" w:lineRule="atLeast"/>
        <w:jc w:val="both"/>
      </w:pPr>
      <w:r>
        <w:rPr>
          <w:spacing w:val="-3"/>
          <w:sz w:val="24"/>
          <w:lang w:val="en-US"/>
        </w:rPr>
        <w:tab/>
      </w:r>
      <w:r>
        <w:rPr>
          <w:rFonts w:ascii="Symbol" w:hAnsi="Symbol"/>
          <w:spacing w:val="-3"/>
          <w:sz w:val="24"/>
          <w:lang w:val="en-US"/>
        </w:rPr>
        <w:t></w:t>
      </w:r>
      <w:r>
        <w:rPr>
          <w:spacing w:val="-3"/>
          <w:sz w:val="24"/>
        </w:rPr>
        <w:t xml:space="preserve">log </w:t>
      </w:r>
      <w:r>
        <w:rPr>
          <w:i/>
          <w:spacing w:val="-3"/>
          <w:sz w:val="24"/>
        </w:rPr>
        <w:t>k</w:t>
      </w:r>
      <w:r>
        <w:rPr>
          <w:spacing w:val="-3"/>
          <w:sz w:val="24"/>
        </w:rPr>
        <w:t xml:space="preserve"> = </w:t>
      </w:r>
      <w:r>
        <w:rPr>
          <w:rFonts w:ascii="Symbol" w:hAnsi="Symbol"/>
          <w:spacing w:val="-3"/>
          <w:sz w:val="24"/>
          <w:lang w:val="en-US"/>
        </w:rPr>
        <w:t></w:t>
      </w:r>
      <w:r>
        <w:rPr>
          <w:spacing w:val="-3"/>
          <w:sz w:val="24"/>
        </w:rPr>
        <w:t xml:space="preserve"> 0.08 at 298 K.</w:t>
      </w:r>
    </w:p>
    <w:p>
      <w:pPr>
        <w:pStyle w:val="style0"/>
        <w:tabs>
          <w:tab w:leader="none" w:pos="0" w:val="left"/>
          <w:tab w:leader="none" w:pos="444" w:val="left"/>
          <w:tab w:leader="none" w:pos="720" w:val="left"/>
        </w:tabs>
        <w:spacing w:line="240" w:lineRule="atLeast"/>
        <w:jc w:val="both"/>
      </w:pPr>
      <w:r>
        <w:rPr>
          <w:spacing w:val="-3"/>
          <w:sz w:val="24"/>
        </w:rPr>
        <w:tab/>
      </w:r>
      <w:r>
        <w:rPr>
          <w:rFonts w:ascii="Symbol" w:hAnsi="Symbol"/>
          <w:spacing w:val="-3"/>
          <w:sz w:val="24"/>
          <w:lang w:val="en-US"/>
        </w:rPr>
        <w:t></w:t>
      </w:r>
      <w:r>
        <w:rPr>
          <w:spacing w:val="-3"/>
          <w:sz w:val="24"/>
        </w:rPr>
        <w:t>(</w:t>
      </w:r>
      <w:r>
        <w:rPr>
          <w:i/>
          <w:spacing w:val="-3"/>
          <w:sz w:val="24"/>
        </w:rPr>
        <w:t>E/R</w:t>
      </w:r>
      <w:r>
        <w:rPr>
          <w:spacing w:val="-3"/>
          <w:sz w:val="24"/>
        </w:rPr>
        <w:t xml:space="preserve">) = </w:t>
      </w:r>
      <w:r>
        <w:rPr>
          <w:rFonts w:ascii="Symbol" w:hAnsi="Symbol"/>
          <w:spacing w:val="-3"/>
          <w:sz w:val="24"/>
          <w:lang w:val="en-US"/>
        </w:rPr>
        <w:t></w:t>
      </w:r>
      <w:r>
        <w:rPr>
          <w:spacing w:val="-3"/>
          <w:sz w:val="24"/>
        </w:rPr>
        <w:t xml:space="preserve"> 150 K.</w:t>
      </w:r>
    </w:p>
    <w:p>
      <w:pPr>
        <w:pStyle w:val="style0"/>
        <w:tabs>
          <w:tab w:leader="none" w:pos="0" w:val="left"/>
          <w:tab w:leader="none" w:pos="444" w:val="left"/>
          <w:tab w:leader="none" w:pos="720" w:val="left"/>
        </w:tabs>
        <w:spacing w:line="240" w:lineRule="atLeast"/>
        <w:jc w:val="both"/>
      </w:pPr>
      <w:r>
        <w:rPr/>
      </w:r>
    </w:p>
    <w:p>
      <w:pPr>
        <w:pStyle w:val="style0"/>
        <w:tabs>
          <w:tab w:leader="none" w:pos="0" w:val="left"/>
          <w:tab w:leader="none" w:pos="444" w:val="left"/>
          <w:tab w:leader="none" w:pos="720" w:val="left"/>
        </w:tabs>
        <w:spacing w:line="240" w:lineRule="atLeast"/>
        <w:jc w:val="both"/>
      </w:pPr>
      <w:r>
        <w:rPr>
          <w:i/>
          <w:spacing w:val="-3"/>
          <w:sz w:val="24"/>
          <w:lang w:val="en-US"/>
        </w:rPr>
        <w:t>Comments on Preferred Values</w:t>
      </w:r>
    </w:p>
    <w:p>
      <w:pPr>
        <w:pStyle w:val="style0"/>
        <w:tabs>
          <w:tab w:leader="none" w:pos="1038" w:val="left"/>
          <w:tab w:leader="none" w:pos="1482" w:val="left"/>
          <w:tab w:leader="none" w:pos="1758" w:val="left"/>
        </w:tabs>
        <w:spacing w:line="240" w:lineRule="atLeast"/>
        <w:ind w:hanging="0" w:left="346" w:right="525"/>
        <w:jc w:val="both"/>
      </w:pPr>
      <w:r>
        <w:rPr>
          <w:spacing w:val="-3"/>
          <w:sz w:val="24"/>
          <w:lang w:val="en-US"/>
        </w:rPr>
        <w:t xml:space="preserve">At 298 K, the rate coefficients of Sanhueza and Heicklen (1975), Niki et al. (1980), Libuda et al. (1990), Wallington et al. (1996), Catoire et al. (1996), and Orlando (1999) are in good agreement.  The temperature dependence reported by Liduda et al. (1990) and Orlando et al. (1999) are in good agreement.  A fit of the Arrhenius expression to the combined data set gives the recommended value of </w:t>
      </w:r>
      <w:r>
        <w:rPr>
          <w:i/>
          <w:spacing w:val="-3"/>
          <w:sz w:val="24"/>
          <w:lang w:val="en-US"/>
        </w:rPr>
        <w:t>k</w:t>
      </w:r>
      <w:r>
        <w:rPr>
          <w:spacing w:val="-3"/>
          <w:sz w:val="24"/>
          <w:lang w:val="en-US"/>
        </w:rPr>
        <w:t>(Cl+HC(O)Cl) = 1.12 x 10</w:t>
      </w:r>
      <w:r>
        <w:rPr>
          <w:spacing w:val="-3"/>
          <w:sz w:val="24"/>
          <w:vertAlign w:val="superscript"/>
          <w:lang w:val="en-US"/>
        </w:rPr>
        <w:t>-12</w:t>
      </w:r>
      <w:r>
        <w:rPr>
          <w:spacing w:val="-3"/>
          <w:sz w:val="24"/>
          <w:lang w:val="en-US"/>
        </w:rPr>
        <w:t xml:space="preserve"> exp(-805 /</w:t>
      </w:r>
      <w:r>
        <w:rPr>
          <w:i/>
          <w:spacing w:val="-3"/>
          <w:sz w:val="24"/>
          <w:lang w:val="en-US"/>
        </w:rPr>
        <w:t>T</w:t>
      </w:r>
      <w:r>
        <w:rPr>
          <w:spacing w:val="-3"/>
          <w:sz w:val="24"/>
          <w:lang w:val="en-US"/>
        </w:rPr>
        <w:t>) cm</w:t>
      </w:r>
      <w:r>
        <w:rPr>
          <w:spacing w:val="-3"/>
          <w:sz w:val="24"/>
          <w:vertAlign w:val="superscript"/>
          <w:lang w:val="en-US"/>
        </w:rPr>
        <w:t>3</w:t>
      </w:r>
      <w:r>
        <w:rPr>
          <w:spacing w:val="-3"/>
          <w:sz w:val="24"/>
          <w:lang w:val="en-US"/>
        </w:rPr>
        <w:t xml:space="preserve"> molecule</w:t>
      </w:r>
      <w:r>
        <w:rPr>
          <w:spacing w:val="-3"/>
          <w:sz w:val="24"/>
          <w:vertAlign w:val="superscript"/>
          <w:lang w:val="en-US"/>
        </w:rPr>
        <w:t>-1</w:t>
      </w:r>
      <w:r>
        <w:rPr>
          <w:spacing w:val="-3"/>
          <w:sz w:val="24"/>
          <w:lang w:val="en-US"/>
        </w:rPr>
        <w:t xml:space="preserve"> s</w:t>
      </w:r>
      <w:r>
        <w:rPr>
          <w:spacing w:val="-3"/>
          <w:sz w:val="24"/>
          <w:vertAlign w:val="superscript"/>
          <w:lang w:val="en-US"/>
        </w:rPr>
        <w:t>-1</w:t>
      </w:r>
      <w:r>
        <w:rPr>
          <w:spacing w:val="-3"/>
          <w:sz w:val="24"/>
          <w:lang w:val="en-US"/>
        </w:rPr>
        <w:t>.</w:t>
      </w:r>
    </w:p>
    <w:p>
      <w:pPr>
        <w:pStyle w:val="style0"/>
        <w:tabs>
          <w:tab w:leader="none" w:pos="0" w:val="left"/>
          <w:tab w:leader="none" w:pos="444" w:val="left"/>
          <w:tab w:leader="none" w:pos="720" w:val="left"/>
        </w:tabs>
        <w:spacing w:line="240" w:lineRule="atLeast"/>
        <w:jc w:val="both"/>
      </w:pPr>
      <w:r>
        <w:rPr/>
      </w:r>
    </w:p>
    <w:p>
      <w:pPr>
        <w:pStyle w:val="style0"/>
        <w:tabs>
          <w:tab w:leader="none" w:pos="4680" w:val="center"/>
        </w:tabs>
        <w:spacing w:line="240" w:lineRule="atLeast"/>
        <w:jc w:val="center"/>
      </w:pPr>
      <w:r>
        <w:rPr>
          <w:b/>
          <w:spacing w:val="-3"/>
          <w:sz w:val="24"/>
          <w:lang w:val="en-US"/>
        </w:rPr>
        <w:t>References</w:t>
      </w:r>
    </w:p>
    <w:p>
      <w:pPr>
        <w:pStyle w:val="style0"/>
        <w:tabs>
          <w:tab w:leader="none" w:pos="4680" w:val="center"/>
        </w:tabs>
        <w:spacing w:line="240" w:lineRule="atLeast"/>
        <w:jc w:val="center"/>
      </w:pPr>
      <w:r>
        <w:rPr/>
      </w:r>
    </w:p>
    <w:p>
      <w:pPr>
        <w:pStyle w:val="style0"/>
        <w:widowControl/>
        <w:ind w:hanging="0" w:left="346" w:right="525"/>
      </w:pPr>
      <w:r>
        <w:rPr>
          <w:spacing w:val="-3"/>
          <w:sz w:val="24"/>
          <w:lang w:val="en-US"/>
        </w:rPr>
        <w:t xml:space="preserve">Atkinson, R., Baulch, D. L., Cox, R. A., Crowley, J. N., Hampson, R. F., Hynes, R. G., Jenkin, M. E., Rossi, M. J., and Troe, J.: Atmos. Chem. Phys., 6, 3625, 2006; IUPAC Task Group on Atmospheric Chemical Kinetic Data </w:t>
      </w:r>
      <w:r>
        <w:rPr>
          <w:spacing w:val="-3"/>
          <w:sz w:val="24"/>
          <w:szCs w:val="24"/>
          <w:lang w:val="en-US"/>
        </w:rPr>
        <w:t xml:space="preserve">Evaluation, </w:t>
      </w:r>
      <w:hyperlink r:id="rId4">
        <w:r>
          <w:rPr>
            <w:rStyle w:val="style21"/>
            <w:rStyle w:val="style21"/>
            <w:sz w:val="24"/>
            <w:szCs w:val="24"/>
          </w:rPr>
          <w:t>http://iupac.pole-ether.fr</w:t>
        </w:r>
      </w:hyperlink>
      <w:r>
        <w:rPr>
          <w:spacing w:val="-3"/>
          <w:sz w:val="24"/>
          <w:szCs w:val="24"/>
          <w:lang w:val="en-US"/>
        </w:rPr>
        <w:t xml:space="preserve"> </w:t>
      </w:r>
    </w:p>
    <w:p>
      <w:pPr>
        <w:pStyle w:val="style0"/>
        <w:widowControl/>
        <w:ind w:hanging="0" w:left="346" w:right="525"/>
      </w:pPr>
      <w:r>
        <w:rPr>
          <w:spacing w:val="-3"/>
          <w:sz w:val="24"/>
          <w:szCs w:val="24"/>
          <w:lang w:val="en-US"/>
        </w:rPr>
        <w:t xml:space="preserve">Atkinson, R., Baulch, D. L., Cox, R. A., Crowley, J. N., Hampson, R. F., Hynes, R. G., Jenkin, M. E., Rossi, M. J., Troe, J., and Wallington, T. J.: Atmos. Chem. Phys., 8, 4141, 2008; IUPAC Task Group on Atmospheric Chemical Kinetic Data Evaluation, </w:t>
      </w:r>
      <w:hyperlink r:id="rId5">
        <w:r>
          <w:rPr>
            <w:rStyle w:val="style21"/>
            <w:rStyle w:val="style21"/>
            <w:sz w:val="24"/>
            <w:szCs w:val="24"/>
          </w:rPr>
          <w:t>http://iupac.pole-ether.fr</w:t>
        </w:r>
      </w:hyperlink>
    </w:p>
    <w:p>
      <w:pPr>
        <w:pStyle w:val="style0"/>
        <w:tabs>
          <w:tab w:leader="none" w:pos="1038" w:val="left"/>
          <w:tab w:leader="none" w:pos="1326" w:val="left"/>
          <w:tab w:leader="none" w:pos="1758" w:val="left"/>
        </w:tabs>
        <w:spacing w:line="240" w:lineRule="atLeast"/>
        <w:ind w:hanging="0" w:left="346" w:right="525"/>
        <w:jc w:val="both"/>
      </w:pPr>
      <w:r>
        <w:rPr>
          <w:spacing w:val="-3"/>
          <w:sz w:val="24"/>
          <w:szCs w:val="24"/>
          <w:lang w:val="en-US"/>
        </w:rPr>
        <w:t xml:space="preserve">Catoire, V., </w:t>
      </w:r>
      <w:r>
        <w:rPr>
          <w:sz w:val="24"/>
          <w:szCs w:val="24"/>
        </w:rPr>
        <w:t xml:space="preserve">Lesclaux, R., Schneider, W. F., and Wallington, T. J.: J. Phys. Chem., </w:t>
      </w:r>
      <w:r>
        <w:rPr>
          <w:sz w:val="24"/>
          <w:szCs w:val="24"/>
          <w:u w:val="single"/>
        </w:rPr>
        <w:t>100</w:t>
      </w:r>
      <w:r>
        <w:rPr>
          <w:sz w:val="24"/>
          <w:szCs w:val="24"/>
        </w:rPr>
        <w:t>, 14356, 1996.</w:t>
      </w:r>
    </w:p>
    <w:p>
      <w:pPr>
        <w:pStyle w:val="style0"/>
        <w:tabs>
          <w:tab w:leader="none" w:pos="1038" w:val="left"/>
          <w:tab w:leader="none" w:pos="1326" w:val="left"/>
          <w:tab w:leader="none" w:pos="1758" w:val="left"/>
        </w:tabs>
        <w:spacing w:line="240" w:lineRule="atLeast"/>
        <w:ind w:hanging="0" w:left="346" w:right="525"/>
        <w:jc w:val="both"/>
      </w:pPr>
      <w:r>
        <w:rPr>
          <w:spacing w:val="-3"/>
          <w:sz w:val="24"/>
          <w:lang w:val="en-US"/>
        </w:rPr>
        <w:t xml:space="preserve">Libuda, H. G., Zabel, F., Fink, E. H. and Becker, K. H.: J. Phys. </w:t>
      </w:r>
      <w:r>
        <w:rPr>
          <w:spacing w:val="-3"/>
          <w:sz w:val="24"/>
          <w:lang w:val="de-DE"/>
        </w:rPr>
        <w:t>Chem., 94, 5860, 1990.</w:t>
      </w:r>
    </w:p>
    <w:p>
      <w:pPr>
        <w:pStyle w:val="style0"/>
        <w:tabs>
          <w:tab w:leader="none" w:pos="1038" w:val="left"/>
          <w:tab w:leader="none" w:pos="1326" w:val="left"/>
          <w:tab w:leader="none" w:pos="1758" w:val="left"/>
        </w:tabs>
        <w:spacing w:line="240" w:lineRule="atLeast"/>
        <w:ind w:hanging="0" w:left="346" w:right="525"/>
        <w:jc w:val="both"/>
      </w:pPr>
      <w:r>
        <w:rPr>
          <w:spacing w:val="-3"/>
          <w:sz w:val="24"/>
          <w:lang w:val="de-DE"/>
        </w:rPr>
        <w:t>Niki, H., Maker, P. D., Savage, C. M. and Breitenbach, L. P.: Int. J. Chem. Kinet., 12, 915, 1980.</w:t>
      </w:r>
    </w:p>
    <w:p>
      <w:pPr>
        <w:pStyle w:val="style0"/>
        <w:tabs>
          <w:tab w:leader="none" w:pos="1038" w:val="left"/>
          <w:tab w:leader="none" w:pos="1326" w:val="left"/>
          <w:tab w:leader="none" w:pos="1758" w:val="left"/>
        </w:tabs>
        <w:spacing w:line="240" w:lineRule="atLeast"/>
        <w:ind w:hanging="0" w:left="346" w:right="525"/>
        <w:jc w:val="both"/>
      </w:pPr>
      <w:r>
        <w:rPr>
          <w:spacing w:val="-3"/>
          <w:sz w:val="24"/>
          <w:lang w:val="de-DE"/>
        </w:rPr>
        <w:t>Orlando, J. J.: Int. J. Chem. Kin., 31, 515, 1999.</w:t>
      </w:r>
    </w:p>
    <w:p>
      <w:pPr>
        <w:pStyle w:val="style0"/>
        <w:tabs>
          <w:tab w:leader="none" w:pos="1038" w:val="left"/>
          <w:tab w:leader="none" w:pos="1326" w:val="left"/>
          <w:tab w:leader="none" w:pos="1758" w:val="left"/>
        </w:tabs>
        <w:spacing w:line="240" w:lineRule="atLeast"/>
        <w:ind w:hanging="0" w:left="346" w:right="525"/>
        <w:jc w:val="both"/>
      </w:pPr>
      <w:r>
        <w:rPr>
          <w:spacing w:val="-3"/>
          <w:sz w:val="24"/>
          <w:lang w:val="de-DE"/>
        </w:rPr>
        <w:t>Sanhueza, E. and Heicklen, J.: J. Phys. Chem., 79, 7, 1975.</w:t>
      </w:r>
    </w:p>
    <w:p>
      <w:pPr>
        <w:pStyle w:val="style0"/>
        <w:tabs>
          <w:tab w:leader="none" w:pos="5718" w:val="center"/>
        </w:tabs>
        <w:spacing w:line="240" w:lineRule="atLeast"/>
        <w:ind w:hanging="0" w:left="346" w:right="525"/>
      </w:pPr>
      <w:r>
        <w:rPr>
          <w:sz w:val="24"/>
          <w:szCs w:val="24"/>
          <w:lang w:val="de-DE"/>
        </w:rPr>
        <w:t xml:space="preserve">Wallington, T. J., Hurley, M. D. and W. F. Schneider: Chem. Phys. </w:t>
      </w:r>
      <w:r>
        <w:rPr>
          <w:sz w:val="24"/>
          <w:szCs w:val="24"/>
        </w:rPr>
        <w:t xml:space="preserve">Lett., </w:t>
      </w:r>
      <w:r>
        <w:rPr>
          <w:sz w:val="24"/>
          <w:szCs w:val="24"/>
          <w:u w:val="single"/>
        </w:rPr>
        <w:t>251</w:t>
      </w:r>
      <w:r>
        <w:rPr>
          <w:sz w:val="24"/>
          <w:szCs w:val="24"/>
        </w:rPr>
        <w:t>, 164, 1996.</w:t>
      </w:r>
    </w:p>
    <w:p>
      <w:pPr>
        <w:pStyle w:val="style0"/>
        <w:tabs>
          <w:tab w:leader="none" w:pos="-564" w:val="left"/>
          <w:tab w:leader="none" w:pos="-132" w:val="left"/>
        </w:tabs>
        <w:spacing w:line="240" w:lineRule="atLeast"/>
        <w:ind w:hanging="0" w:left="-284" w:right="0"/>
        <w:jc w:val="center"/>
      </w:pPr>
      <w:r>
        <w:rPr/>
      </w:r>
    </w:p>
    <w:p>
      <w:pPr>
        <w:pStyle w:val="style0"/>
        <w:ind w:hanging="0" w:left="498" w:right="0"/>
      </w:pPr>
      <w:r>
        <w:rPr/>
        <w:drawing>
          <wp:inline distB="0" distL="0" distR="0" distT="0">
            <wp:extent cx="5667375" cy="612457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6"/>
                    <a:srcRect/>
                    <a:stretch>
                      <a:fillRect/>
                    </a:stretch>
                  </pic:blipFill>
                  <pic:spPr bwMode="auto">
                    <a:xfrm>
                      <a:off x="0" y="0"/>
                      <a:ext cx="5667375" cy="6124575"/>
                    </a:xfrm>
                    <a:prstGeom prst="rect">
                      <a:avLst/>
                    </a:prstGeom>
                    <a:noFill/>
                    <a:ln w="9525">
                      <a:noFill/>
                      <a:miter lim="800000"/>
                      <a:headEnd/>
                      <a:tailEnd/>
                    </a:ln>
                  </pic:spPr>
                </pic:pic>
              </a:graphicData>
            </a:graphic>
          </wp:inline>
        </w:drawing>
      </w:r>
    </w:p>
    <w:sectPr>
      <w:type w:val="nextPage"/>
      <w:pgSz w:h="16838" w:w="11906"/>
      <w:pgMar w:bottom="965" w:footer="0" w:gutter="0" w:header="0" w:left="996" w:right="1246" w:top="965"/>
      <w:pgNumType w:fmt="decimal"/>
      <w:formProt w:val="false"/>
      <w:textDirection w:val="lrTb"/>
      <w:docGrid w:charSpace="2457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G Times">
    <w:charset w:val="80"/>
    <w:family w:val="roman"/>
    <w:pitch w:val="variable"/>
  </w:font>
  <w:font w:name="Liberation Sans">
    <w:altName w:val="Arial"/>
    <w:charset w:val="80"/>
    <w:family w:val="swiss"/>
    <w:pitch w:val="variable"/>
  </w:font>
  <w:font w:name="Times New Roman">
    <w:charset w:val="80"/>
    <w:family w:val="roman"/>
    <w:pitch w:val="default"/>
  </w:font>
  <w:font w:name="Symbol">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3"/>
      <w:numFmt w:val="lowerLetter"/>
      <w:lvlText w:val="(%1)"/>
      <w:lvlJc w:val="left"/>
      <w:pPr>
        <w:tabs>
          <w:tab w:pos="450" w:val="num"/>
        </w:tabs>
        <w:ind w:hanging="450" w:left="45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Times New Roman" w:eastAsia="Times New Roman" w:hAnsi="Times New Roman"/>
      <w:color w:val="00000A"/>
      <w:sz w:val="20"/>
      <w:szCs w:val="20"/>
      <w:lang w:bidi="ar-SA" w:eastAsia="ar-SA" w:val="en-GB"/>
    </w:rPr>
  </w:style>
  <w:style w:styleId="style1" w:type="paragraph">
    <w:name w:val="Heading 1"/>
    <w:basedOn w:val="style0"/>
    <w:next w:val="style1"/>
    <w:pPr>
      <w:keepNext/>
      <w:tabs>
        <w:tab w:leader="none" w:pos="4680" w:val="center"/>
      </w:tabs>
      <w:spacing w:line="240" w:lineRule="atLeast"/>
      <w:jc w:val="center"/>
    </w:pPr>
    <w:rPr>
      <w:b/>
      <w:spacing w:val="-3"/>
      <w:sz w:val="24"/>
      <w:lang w:val="en-US"/>
    </w:rPr>
  </w:style>
  <w:style w:styleId="style2" w:type="paragraph">
    <w:name w:val="Heading 2"/>
    <w:basedOn w:val="style0"/>
    <w:next w:val="style2"/>
    <w:pPr>
      <w:keepNext/>
      <w:widowControl/>
      <w:spacing w:line="264" w:lineRule="auto"/>
    </w:pPr>
    <w:rPr>
      <w:spacing w:val="-2"/>
      <w:sz w:val="24"/>
      <w:lang w:val="en-US"/>
    </w:rPr>
  </w:style>
  <w:style w:styleId="style3" w:type="paragraph">
    <w:name w:val="Heading 3"/>
    <w:basedOn w:val="style0"/>
    <w:next w:val="style3"/>
    <w:pPr>
      <w:keepNext/>
      <w:widowControl/>
      <w:tabs>
        <w:tab w:leader="none" w:pos="4680" w:val="center"/>
      </w:tabs>
      <w:jc w:val="center"/>
    </w:pPr>
    <w:rPr>
      <w:rFonts w:ascii="CG Times" w:cs="Arial Unicode MS" w:eastAsia="Arial Unicode MS" w:hAnsi="CG Times"/>
      <w:b/>
      <w:color w:val="000000"/>
      <w:sz w:val="24"/>
      <w:lang w:val="en-US"/>
    </w:rPr>
  </w:style>
  <w:style w:styleId="style15" w:type="character">
    <w:name w:val="Default Paragraph Font"/>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Police par défaut"/>
    <w:next w:val="style19"/>
    <w:rPr/>
  </w:style>
  <w:style w:styleId="style20" w:type="character">
    <w:name w:val="WW8Num2z0"/>
    <w:next w:val="style20"/>
    <w:rPr>
      <w:strike w:val="false"/>
      <w:dstrike w:val="false"/>
      <w:vertAlign w:val="superscript"/>
    </w:rPr>
  </w:style>
  <w:style w:styleId="style21" w:type="character">
    <w:name w:val="Internet Link"/>
    <w:next w:val="style21"/>
    <w:rPr>
      <w:color w:val="0000FF"/>
      <w:u w:val="single"/>
      <w:lang w:bidi="zxx-" w:eastAsia="zxx-" w:val="zxx-"/>
    </w:rPr>
  </w:style>
  <w:style w:styleId="style22" w:type="paragraph">
    <w:name w:val="Heading"/>
    <w:basedOn w:val="style0"/>
    <w:next w:val="style23"/>
    <w:pPr>
      <w:keepNext/>
      <w:spacing w:after="120" w:before="240"/>
      <w:contextualSpacing w:val="false"/>
    </w:pPr>
    <w:rPr>
      <w:rFonts w:ascii="Liberation Sans" w:cs="Lohit Devanagari" w:eastAsia="DejaVu Sans" w:hAnsi="Liberation Sans"/>
      <w:sz w:val="28"/>
      <w:szCs w:val="28"/>
    </w:rPr>
  </w:style>
  <w:style w:styleId="style23" w:type="paragraph">
    <w:name w:val="Text Body"/>
    <w:basedOn w:val="style0"/>
    <w:next w:val="style23"/>
    <w:pPr>
      <w:tabs>
        <w:tab w:leader="none" w:pos="720" w:val="left"/>
      </w:tabs>
      <w:spacing w:after="120" w:before="0" w:line="240" w:lineRule="atLeast"/>
      <w:contextualSpacing w:val="false"/>
      <w:jc w:val="both"/>
    </w:pPr>
    <w:rPr>
      <w:spacing w:val="-3"/>
      <w:sz w:val="24"/>
      <w:lang w:val="en-US"/>
    </w:rPr>
  </w:style>
  <w:style w:styleId="style24" w:type="paragraph">
    <w:name w:val="List"/>
    <w:basedOn w:val="style23"/>
    <w:next w:val="style24"/>
    <w:pPr/>
    <w:rPr>
      <w:rFonts w:cs="Lohit Devanagari"/>
    </w:rPr>
  </w:style>
  <w:style w:styleId="style25" w:type="paragraph">
    <w:name w:val="Caption"/>
    <w:basedOn w:val="style0"/>
    <w:next w:val="style25"/>
    <w:pPr>
      <w:suppressLineNumbers/>
      <w:spacing w:after="120" w:before="120"/>
      <w:contextualSpacing w:val="false"/>
    </w:pPr>
    <w:rPr>
      <w:rFonts w:cs="Lohit Devanagari"/>
      <w:i/>
      <w:iCs/>
      <w:sz w:val="24"/>
      <w:szCs w:val="24"/>
    </w:rPr>
  </w:style>
  <w:style w:styleId="style26" w:type="paragraph">
    <w:name w:val="Index"/>
    <w:basedOn w:val="style0"/>
    <w:next w:val="style26"/>
    <w:pPr>
      <w:suppressLineNumbers/>
    </w:pPr>
    <w:rPr>
      <w:rFonts w:cs="Lohit Devanagari"/>
    </w:rPr>
  </w:style>
  <w:style w:styleId="style27" w:type="paragraph">
    <w:name w:val="caption"/>
    <w:basedOn w:val="style0"/>
    <w:next w:val="style27"/>
    <w:pPr>
      <w:suppressLineNumbers/>
      <w:spacing w:after="120" w:before="120"/>
      <w:contextualSpacing w:val="false"/>
    </w:pPr>
    <w:rPr>
      <w:rFonts w:cs="Lohit Devanagari"/>
      <w:i/>
      <w:iCs/>
      <w:sz w:val="24"/>
      <w:szCs w:val="24"/>
    </w:rPr>
  </w:style>
  <w:style w:styleId="style28" w:type="paragraph">
    <w:name w:val="Table Contents"/>
    <w:basedOn w:val="style0"/>
    <w:next w:val="style28"/>
    <w:pPr>
      <w:suppressLineNumbers/>
    </w:pPr>
    <w:rPr/>
  </w:style>
  <w:style w:styleId="style29" w:type="paragraph">
    <w:name w:val="Table Heading"/>
    <w:basedOn w:val="style28"/>
    <w:next w:val="style29"/>
    <w:pPr>
      <w:jc w:val="center"/>
    </w:pPr>
    <w:rPr>
      <w:b/>
      <w:bCs/>
    </w:rPr>
  </w:style>
  <w:style w:styleId="style30" w:type="paragraph">
    <w:name w:val="Text Body Indent"/>
    <w:basedOn w:val="style23"/>
    <w:next w:val="style30"/>
    <w:pPr>
      <w:ind w:hanging="0" w:left="283"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upac.pole-ether.fr/" TargetMode="External"/><Relationship Id="rId3" Type="http://schemas.openxmlformats.org/officeDocument/2006/relationships/hyperlink" Target="http://iupac.pole-ether.fr/" TargetMode="External"/><Relationship Id="rId4" Type="http://schemas.openxmlformats.org/officeDocument/2006/relationships/hyperlink" Target="http://iupac.pole-ether.fr/" TargetMode="External"/><Relationship Id="rId5" Type="http://schemas.openxmlformats.org/officeDocument/2006/relationships/hyperlink" Target="http://iupac.pole-ether.fr/" TargetMode="External"/><Relationship Id="rId6" Type="http://schemas.openxmlformats.org/officeDocument/2006/relationships/image" Target="media/image3.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2014-06-09T20:57:00.00Z</dcterms:created>
  <dc:creator>idreger</dc:creator>
  <cp:lastModifiedBy>Wallington, Timothy (T.J.)</cp:lastModifiedBy>
  <cp:lastPrinted>1601-01-01T00:00:00.00Z</cp:lastPrinted>
  <dcterms:modified xsi:type="dcterms:W3CDTF">2014-06-09T20:57:00.00Z</dcterms:modified>
  <cp:revision>2</cp:revision>
  <dc:title>IUPAC Task Group on Atmospheric Chemical Kinetic Data Evaluation – Data Sheet IV.A2.88 oClOx14</dc:title>
</cp:coreProperties>
</file>