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D446E6">
        <w:t>AQ_TH1_NO3_2</w:t>
      </w:r>
    </w:p>
    <w:p w:rsidR="00C96AEC" w:rsidRDefault="008A4EE3" w:rsidP="00702C8F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C96AEC">
        <w:t xml:space="preserve">The citation for this datasheet is: IUPAC Task Group on Atmospheric Chemical Kinetic Data Evaluation, </w:t>
      </w:r>
      <w:hyperlink r:id="rId6" w:history="1">
        <w:r w:rsidR="00C96AEC">
          <w:rPr>
            <w:rStyle w:val="Lienhypertexte"/>
          </w:rPr>
          <w:t>http://iupac.pole-ether.fr</w:t>
        </w:r>
      </w:hyperlink>
      <w:r w:rsidR="00C96AEC">
        <w:t>.</w:t>
      </w:r>
    </w:p>
    <w:p w:rsidR="00032F39" w:rsidRDefault="00032F39" w:rsidP="00C96AEC">
      <w:pPr>
        <w:pStyle w:val="IUPACtopparagraph"/>
      </w:pPr>
    </w:p>
    <w:p w:rsidR="00C96AEC" w:rsidRPr="00702C8F" w:rsidRDefault="00C96AEC" w:rsidP="00C96AEC">
      <w:pPr>
        <w:pStyle w:val="IUPACtopparagraph"/>
      </w:pPr>
      <w:r>
        <w:t xml:space="preserve">This datasheet last evaluated: </w:t>
      </w:r>
      <w:r w:rsidR="00D446E6">
        <w:t>May</w:t>
      </w:r>
      <w:r>
        <w:t xml:space="preserve"> 201</w:t>
      </w:r>
      <w:r w:rsidR="00D446E6">
        <w:t>7</w:t>
      </w:r>
      <w:r>
        <w:t>; last change in preferred values: June 2016</w:t>
      </w:r>
    </w:p>
    <w:p w:rsidR="0095101F" w:rsidRDefault="0095101F" w:rsidP="0095101F">
      <w:pPr>
        <w:rPr>
          <w:lang w:val="pt-BR"/>
        </w:rPr>
      </w:pPr>
    </w:p>
    <w:p w:rsidR="00F726F5" w:rsidRPr="009406B6" w:rsidRDefault="00A91826" w:rsidP="0095101F">
      <w:pPr>
        <w:ind w:firstLine="720"/>
        <w:rPr>
          <w:b/>
          <w:lang w:val="pt-BR"/>
        </w:rPr>
      </w:pPr>
      <w:r w:rsidRPr="009406B6">
        <w:rPr>
          <w:b/>
          <w:lang w:val="pt-BR"/>
        </w:rPr>
        <w:t>NO</w:t>
      </w:r>
      <w:r w:rsidRPr="009406B6">
        <w:rPr>
          <w:b/>
          <w:vertAlign w:val="subscript"/>
          <w:lang w:val="pt-BR"/>
        </w:rPr>
        <w:t>3</w:t>
      </w:r>
      <w:r w:rsidR="00F13C78" w:rsidRPr="009406B6">
        <w:rPr>
          <w:rFonts w:cs="Times New Roman"/>
          <w:b/>
          <w:vertAlign w:val="superscript"/>
          <w:lang w:val="pt-BR"/>
        </w:rPr>
        <w:t>·</w:t>
      </w:r>
      <w:r w:rsidR="00F726F5" w:rsidRPr="009406B6">
        <w:rPr>
          <w:b/>
          <w:lang w:val="pt-BR"/>
        </w:rPr>
        <w:t>(aq) + C</w:t>
      </w:r>
      <w:r w:rsidR="00215F21" w:rsidRPr="009406B6">
        <w:rPr>
          <w:b/>
          <w:lang w:val="pt-BR"/>
        </w:rPr>
        <w:t>H</w:t>
      </w:r>
      <w:r w:rsidR="006A2320" w:rsidRPr="009406B6">
        <w:rPr>
          <w:b/>
          <w:vertAlign w:val="subscript"/>
          <w:lang w:val="pt-BR"/>
        </w:rPr>
        <w:t>2</w:t>
      </w:r>
      <w:r w:rsidR="007C1BA6" w:rsidRPr="009406B6">
        <w:rPr>
          <w:b/>
          <w:lang w:val="pt-BR"/>
        </w:rPr>
        <w:t>(</w:t>
      </w:r>
      <w:r w:rsidR="006A2320" w:rsidRPr="009406B6">
        <w:rPr>
          <w:b/>
          <w:lang w:val="pt-BR"/>
        </w:rPr>
        <w:t>OH</w:t>
      </w:r>
      <w:r w:rsidR="007C1BA6" w:rsidRPr="009406B6">
        <w:rPr>
          <w:b/>
          <w:lang w:val="pt-BR"/>
        </w:rPr>
        <w:t>)</w:t>
      </w:r>
      <w:r w:rsidR="006A2320" w:rsidRPr="009406B6">
        <w:rPr>
          <w:b/>
          <w:lang w:val="pt-BR"/>
        </w:rPr>
        <w:t>COOH(</w:t>
      </w:r>
      <w:r w:rsidR="00F726F5" w:rsidRPr="009406B6">
        <w:rPr>
          <w:b/>
          <w:lang w:val="pt-BR"/>
        </w:rPr>
        <w:t xml:space="preserve">aq) </w:t>
      </w:r>
      <w:r w:rsidR="00F726F5" w:rsidRPr="009406B6">
        <w:rPr>
          <w:b/>
        </w:rPr>
        <w:sym w:font="Symbol" w:char="F0AE"/>
      </w:r>
      <w:r w:rsidR="00F726F5" w:rsidRPr="009406B6">
        <w:rPr>
          <w:b/>
          <w:lang w:val="pt-BR"/>
        </w:rPr>
        <w:t xml:space="preserve"> </w:t>
      </w:r>
      <w:r w:rsidR="00F13C78" w:rsidRPr="009406B6">
        <w:rPr>
          <w:rFonts w:cs="Times New Roman"/>
          <w:b/>
          <w:vertAlign w:val="superscript"/>
          <w:lang w:val="pt-BR"/>
        </w:rPr>
        <w:t>·</w:t>
      </w:r>
      <w:r w:rsidR="006A2320" w:rsidRPr="009406B6">
        <w:rPr>
          <w:b/>
          <w:lang w:val="pt-BR"/>
        </w:rPr>
        <w:t>CH</w:t>
      </w:r>
      <w:r w:rsidR="007C1BA6" w:rsidRPr="009406B6">
        <w:rPr>
          <w:b/>
          <w:lang w:val="pt-BR"/>
        </w:rPr>
        <w:t>(</w:t>
      </w:r>
      <w:r w:rsidR="006A2320" w:rsidRPr="009406B6">
        <w:rPr>
          <w:b/>
          <w:lang w:val="pt-BR"/>
        </w:rPr>
        <w:t>OH</w:t>
      </w:r>
      <w:r w:rsidR="007C1BA6" w:rsidRPr="009406B6">
        <w:rPr>
          <w:b/>
          <w:lang w:val="pt-BR"/>
        </w:rPr>
        <w:t>)</w:t>
      </w:r>
      <w:r w:rsidR="006A2320" w:rsidRPr="009406B6">
        <w:rPr>
          <w:b/>
          <w:lang w:val="pt-BR"/>
        </w:rPr>
        <w:t>COOH</w:t>
      </w:r>
      <w:r w:rsidR="00652F32" w:rsidRPr="009406B6">
        <w:rPr>
          <w:b/>
          <w:lang w:val="pt-BR"/>
        </w:rPr>
        <w:t>(aq)</w:t>
      </w:r>
      <w:r w:rsidR="006A2320" w:rsidRPr="009406B6">
        <w:rPr>
          <w:b/>
          <w:lang w:val="pt-BR"/>
        </w:rPr>
        <w:t xml:space="preserve"> </w:t>
      </w:r>
      <w:r w:rsidRPr="009406B6">
        <w:rPr>
          <w:b/>
          <w:lang w:val="pt-BR"/>
        </w:rPr>
        <w:t>+  HNO</w:t>
      </w:r>
      <w:r w:rsidRPr="009406B6">
        <w:rPr>
          <w:b/>
          <w:vertAlign w:val="subscript"/>
          <w:lang w:val="pt-BR"/>
        </w:rPr>
        <w:t>3</w:t>
      </w:r>
      <w:r w:rsidR="003C6E51" w:rsidRPr="009406B6">
        <w:rPr>
          <w:b/>
          <w:lang w:val="pt-BR"/>
        </w:rPr>
        <w:tab/>
      </w:r>
      <w:r w:rsidR="003C6E51" w:rsidRPr="009406B6">
        <w:rPr>
          <w:b/>
          <w:lang w:val="pt-BR"/>
        </w:rPr>
        <w:tab/>
      </w:r>
      <w:r w:rsidR="00F726F5" w:rsidRPr="009406B6">
        <w:rPr>
          <w:b/>
          <w:lang w:val="pt-BR"/>
        </w:rPr>
        <w:t>(1)</w:t>
      </w:r>
    </w:p>
    <w:p w:rsidR="0095101F" w:rsidRPr="009406B6" w:rsidRDefault="0095101F" w:rsidP="0095101F">
      <w:pPr>
        <w:ind w:firstLine="720"/>
        <w:rPr>
          <w:b/>
          <w:lang w:val="pt-BR"/>
        </w:rPr>
      </w:pPr>
      <w:r w:rsidRPr="009406B6">
        <w:rPr>
          <w:b/>
          <w:lang w:val="pt-BR"/>
        </w:rPr>
        <w:t>NO</w:t>
      </w:r>
      <w:r w:rsidRPr="009406B6">
        <w:rPr>
          <w:b/>
          <w:vertAlign w:val="subscript"/>
          <w:lang w:val="pt-BR"/>
        </w:rPr>
        <w:t>3</w:t>
      </w:r>
      <w:r w:rsidRPr="009406B6">
        <w:rPr>
          <w:rFonts w:cs="Times New Roman"/>
          <w:b/>
          <w:vertAlign w:val="superscript"/>
          <w:lang w:val="pt-BR"/>
        </w:rPr>
        <w:t>·</w:t>
      </w:r>
      <w:r w:rsidRPr="009406B6">
        <w:rPr>
          <w:b/>
          <w:lang w:val="pt-BR"/>
        </w:rPr>
        <w:t>(aq) + CH</w:t>
      </w:r>
      <w:r w:rsidRPr="009406B6">
        <w:rPr>
          <w:b/>
          <w:vertAlign w:val="subscript"/>
          <w:lang w:val="pt-BR"/>
        </w:rPr>
        <w:t>2</w:t>
      </w:r>
      <w:r w:rsidRPr="009406B6">
        <w:rPr>
          <w:b/>
          <w:lang w:val="pt-BR"/>
        </w:rPr>
        <w:t>(OH)COO</w:t>
      </w:r>
      <w:r w:rsidRPr="009406B6">
        <w:rPr>
          <w:b/>
          <w:vertAlign w:val="superscript"/>
          <w:lang w:val="pt-BR"/>
        </w:rPr>
        <w:t>-</w:t>
      </w:r>
      <w:r w:rsidRPr="009406B6">
        <w:rPr>
          <w:b/>
          <w:lang w:val="pt-BR"/>
        </w:rPr>
        <w:t xml:space="preserve">(aq) </w:t>
      </w:r>
      <w:r w:rsidR="00E7484C" w:rsidRPr="009406B6">
        <w:rPr>
          <w:b/>
          <w:lang w:val="pt-BR"/>
        </w:rPr>
        <w:t xml:space="preserve">  </w:t>
      </w:r>
      <w:r w:rsidRPr="009406B6">
        <w:rPr>
          <w:b/>
        </w:rPr>
        <w:sym w:font="Symbol" w:char="F0AE"/>
      </w:r>
      <w:r w:rsidRPr="009406B6">
        <w:rPr>
          <w:b/>
          <w:lang w:val="pt-BR"/>
        </w:rPr>
        <w:t xml:space="preserve"> </w:t>
      </w:r>
      <w:r w:rsidRPr="009406B6">
        <w:rPr>
          <w:rFonts w:cs="Times New Roman"/>
          <w:b/>
          <w:vertAlign w:val="superscript"/>
          <w:lang w:val="pt-BR"/>
        </w:rPr>
        <w:t>·</w:t>
      </w:r>
      <w:r w:rsidRPr="009406B6">
        <w:rPr>
          <w:b/>
          <w:lang w:val="pt-BR"/>
        </w:rPr>
        <w:t>CH(OH)COO</w:t>
      </w:r>
      <w:r w:rsidRPr="009406B6">
        <w:rPr>
          <w:b/>
          <w:vertAlign w:val="superscript"/>
          <w:lang w:val="pt-BR"/>
        </w:rPr>
        <w:t>-</w:t>
      </w:r>
      <w:r w:rsidRPr="009406B6">
        <w:rPr>
          <w:b/>
          <w:lang w:val="pt-BR"/>
        </w:rPr>
        <w:t xml:space="preserve">(aq) </w:t>
      </w:r>
      <w:r w:rsidR="00E7484C" w:rsidRPr="009406B6">
        <w:rPr>
          <w:b/>
          <w:lang w:val="pt-BR"/>
        </w:rPr>
        <w:t xml:space="preserve">  </w:t>
      </w:r>
      <w:r w:rsidRPr="009406B6">
        <w:rPr>
          <w:b/>
          <w:lang w:val="pt-BR"/>
        </w:rPr>
        <w:t>+  HNO</w:t>
      </w:r>
      <w:r w:rsidRPr="009406B6">
        <w:rPr>
          <w:b/>
          <w:vertAlign w:val="subscript"/>
          <w:lang w:val="pt-BR"/>
        </w:rPr>
        <w:t>3</w:t>
      </w:r>
      <w:r w:rsidRPr="009406B6">
        <w:rPr>
          <w:b/>
          <w:lang w:val="pt-BR"/>
        </w:rPr>
        <w:t xml:space="preserve"> </w:t>
      </w:r>
      <w:r w:rsidRPr="009406B6">
        <w:rPr>
          <w:b/>
          <w:lang w:val="pt-BR"/>
        </w:rPr>
        <w:tab/>
      </w:r>
      <w:r w:rsidR="003C6E51" w:rsidRPr="009406B6">
        <w:rPr>
          <w:b/>
          <w:lang w:val="pt-BR"/>
        </w:rPr>
        <w:tab/>
      </w:r>
      <w:r w:rsidRPr="009406B6">
        <w:rPr>
          <w:b/>
          <w:lang w:val="pt-BR"/>
        </w:rPr>
        <w:t>(2)</w:t>
      </w:r>
    </w:p>
    <w:p w:rsidR="0095101F" w:rsidRDefault="0095101F" w:rsidP="0095101F">
      <w:pPr>
        <w:rPr>
          <w:lang w:val="pt-BR"/>
        </w:rPr>
      </w:pPr>
    </w:p>
    <w:p w:rsidR="0095101F" w:rsidRDefault="0095101F" w:rsidP="0095101F">
      <w:pPr>
        <w:rPr>
          <w:lang w:val="pt-BR"/>
        </w:rPr>
      </w:pPr>
    </w:p>
    <w:p w:rsidR="008F5774" w:rsidRPr="008F5774" w:rsidRDefault="008F5774" w:rsidP="008F5774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8F5774">
        <w:rPr>
          <w:rFonts w:ascii="Symbol" w:hAnsi="Symbol"/>
          <w:spacing w:val="-3"/>
          <w:lang w:val="en-US"/>
        </w:rPr>
        <w:t></w:t>
      </w:r>
      <w:r w:rsidRPr="008F5774">
        <w:rPr>
          <w:i/>
          <w:spacing w:val="-3"/>
          <w:lang w:val="en-US"/>
        </w:rPr>
        <w:t>G</w:t>
      </w:r>
      <w:r w:rsidRPr="008F5774">
        <w:rPr>
          <w:i/>
          <w:spacing w:val="-3"/>
          <w:vertAlign w:val="subscript"/>
          <w:lang w:val="en-US"/>
        </w:rPr>
        <w:t>R</w:t>
      </w:r>
      <w:r w:rsidRPr="008F5774">
        <w:rPr>
          <w:iCs/>
          <w:spacing w:val="-3"/>
          <w:lang w:val="en-US"/>
        </w:rPr>
        <w:sym w:font="Symbol" w:char="F0B0"/>
      </w:r>
      <w:r w:rsidRPr="008F5774">
        <w:rPr>
          <w:iCs/>
          <w:spacing w:val="-3"/>
          <w:lang w:val="en-US"/>
        </w:rPr>
        <w:t xml:space="preserve"> (aq)</w:t>
      </w:r>
      <w:r w:rsidRPr="008F5774">
        <w:t>: Aqueous phase thermochemical data not available</w:t>
      </w:r>
      <w:r w:rsidR="002A674A">
        <w:t xml:space="preserve">. </w:t>
      </w:r>
      <w:r w:rsidRPr="008F5774">
        <w:t>Gas phase data are also not available</w:t>
      </w:r>
      <w:r>
        <w:t>.</w:t>
      </w:r>
    </w:p>
    <w:p w:rsidR="00F726F5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032F39" w:rsidRPr="008F5774" w:rsidRDefault="00032F39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850"/>
        <w:gridCol w:w="1403"/>
        <w:gridCol w:w="1697"/>
        <w:gridCol w:w="14"/>
        <w:gridCol w:w="1530"/>
        <w:gridCol w:w="15"/>
      </w:tblGrid>
      <w:tr w:rsidR="00C648E1" w:rsidRPr="00821651" w:rsidTr="001561F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648E1" w:rsidRPr="00821651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 w:rsidR="00D12D39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pH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I</w:t>
            </w:r>
            <w:r w:rsidRPr="003D15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3C6E51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3C6E51" w:rsidRPr="003C6E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821651">
              <w:rPr>
                <w:b w:val="0"/>
                <w:szCs w:val="24"/>
              </w:rPr>
              <w:t>Reference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8"/>
            <w:vAlign w:val="center"/>
          </w:tcPr>
          <w:p w:rsidR="00C648E1" w:rsidRDefault="00C648E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Absolute Rate Coefficients</w:t>
            </w:r>
          </w:p>
        </w:tc>
      </w:tr>
      <w:tr w:rsidR="001561F7" w:rsidTr="00CB0AD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1F7" w:rsidRPr="00FA0C8D" w:rsidRDefault="001561F7" w:rsidP="00EC593A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 w:rsidRPr="0095101F">
              <w:rPr>
                <w:i/>
                <w:spacing w:val="-3"/>
                <w:lang w:val="en-CA"/>
              </w:rPr>
              <w:t>k</w:t>
            </w:r>
            <w:r w:rsidRPr="0095101F">
              <w:rPr>
                <w:spacing w:val="-3"/>
                <w:vertAlign w:val="subscript"/>
                <w:lang w:val="en-CA"/>
              </w:rPr>
              <w:t>1</w:t>
            </w:r>
            <w:r>
              <w:rPr>
                <w:spacing w:val="-3"/>
                <w:lang w:val="en-CA"/>
              </w:rPr>
              <w:t xml:space="preserve"> = (9.1 ± 2.3)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F7" w:rsidRPr="00D557B7" w:rsidRDefault="001561F7" w:rsidP="001D6CBA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F7" w:rsidRPr="00FA0C8D" w:rsidRDefault="001561F7" w:rsidP="00CB0AD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0.5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F7" w:rsidRPr="00FA0C8D" w:rsidRDefault="001561F7" w:rsidP="001D6CBA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0.45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F7" w:rsidRPr="00FA0C8D" w:rsidRDefault="001561F7" w:rsidP="009406B6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de Semainville </w:t>
            </w:r>
            <w:r w:rsidRPr="003C6E51">
              <w:rPr>
                <w:spacing w:val="-2"/>
                <w:lang w:val="en-CA"/>
              </w:rPr>
              <w:t>et al.,</w:t>
            </w:r>
            <w:r>
              <w:rPr>
                <w:spacing w:val="-2"/>
                <w:lang w:val="en-CA"/>
              </w:rPr>
              <w:t xml:space="preserve"> 2007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1F7" w:rsidRPr="00FA0C8D" w:rsidRDefault="001561F7" w:rsidP="0095101F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LFP(a)</w:t>
            </w:r>
          </w:p>
        </w:tc>
      </w:tr>
      <w:tr w:rsidR="001561F7" w:rsidTr="00CB0AD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F7" w:rsidRDefault="001561F7" w:rsidP="00AE28A7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  <w:r w:rsidRPr="0095101F">
              <w:rPr>
                <w:i/>
                <w:spacing w:val="-3"/>
                <w:lang w:val="en-CA"/>
              </w:rPr>
              <w:t>k</w:t>
            </w:r>
            <w:r w:rsidRPr="0095101F">
              <w:rPr>
                <w:spacing w:val="-3"/>
                <w:vertAlign w:val="subscript"/>
                <w:lang w:val="en-CA"/>
              </w:rPr>
              <w:t>1</w:t>
            </w:r>
            <w:r>
              <w:rPr>
                <w:spacing w:val="-3"/>
                <w:lang w:val="en-CA"/>
              </w:rPr>
              <w:t xml:space="preserve"> = 4.5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11</w:t>
            </w:r>
            <w:r>
              <w:rPr>
                <w:spacing w:val="-3"/>
                <w:lang w:val="en-CA"/>
              </w:rPr>
              <w:t xml:space="preserve"> exp[(-3969 ± 168</w:t>
            </w:r>
            <w:r w:rsidR="00AE28A7">
              <w:rPr>
                <w:spacing w:val="-3"/>
                <w:lang w:val="en-CA"/>
              </w:rPr>
              <w:t>0</w:t>
            </w:r>
            <w:r>
              <w:rPr>
                <w:spacing w:val="-3"/>
                <w:lang w:val="en-CA"/>
              </w:rPr>
              <w:t>)/T]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F7" w:rsidRDefault="001561F7" w:rsidP="0095101F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F7" w:rsidRDefault="001561F7" w:rsidP="00CB0AD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F7" w:rsidRDefault="001561F7" w:rsidP="009510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1561F7" w:rsidTr="00CB0AD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1F7" w:rsidRPr="00FA0C8D" w:rsidRDefault="001561F7" w:rsidP="0095101F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i/>
                <w:spacing w:val="-3"/>
                <w:lang w:val="en-CA"/>
              </w:rPr>
              <w:t>k</w:t>
            </w:r>
            <w:r>
              <w:rPr>
                <w:spacing w:val="-3"/>
                <w:vertAlign w:val="subscript"/>
                <w:lang w:val="en-CA"/>
              </w:rPr>
              <w:t>2</w:t>
            </w:r>
            <w:r>
              <w:rPr>
                <w:spacing w:val="-3"/>
                <w:lang w:val="en-CA"/>
              </w:rPr>
              <w:t xml:space="preserve"> =  (1.0 ± 0.2)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1F7" w:rsidRPr="00D557B7" w:rsidRDefault="001561F7" w:rsidP="00D3615A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1F7" w:rsidRPr="00FA0C8D" w:rsidRDefault="001561F7" w:rsidP="00CB0AD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1F7" w:rsidRPr="00FA0C8D" w:rsidRDefault="001561F7" w:rsidP="00D3615A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0.13</w:t>
            </w: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1561F7" w:rsidTr="001561F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1F7" w:rsidRDefault="001561F7" w:rsidP="001561F7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  <w:r>
              <w:rPr>
                <w:i/>
                <w:spacing w:val="-3"/>
                <w:lang w:val="en-CA"/>
              </w:rPr>
              <w:t>k</w:t>
            </w:r>
            <w:r>
              <w:rPr>
                <w:spacing w:val="-3"/>
                <w:vertAlign w:val="subscript"/>
                <w:lang w:val="en-CA"/>
              </w:rPr>
              <w:t>2</w:t>
            </w:r>
            <w:r>
              <w:rPr>
                <w:spacing w:val="-3"/>
                <w:lang w:val="en-CA"/>
              </w:rPr>
              <w:t xml:space="preserve"> = 1.8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11</w:t>
            </w:r>
            <w:r w:rsidR="00AE28A7">
              <w:rPr>
                <w:spacing w:val="-3"/>
                <w:lang w:val="en-CA"/>
              </w:rPr>
              <w:t xml:space="preserve"> exp[(-3007 ± 1080</w:t>
            </w:r>
            <w:r>
              <w:rPr>
                <w:spacing w:val="-3"/>
                <w:lang w:val="en-CA"/>
              </w:rPr>
              <w:t>)/T]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1F7" w:rsidRDefault="001561F7" w:rsidP="0095101F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61F7" w:rsidRDefault="001561F7" w:rsidP="0095101F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1F7" w:rsidRDefault="001561F7" w:rsidP="0095101F">
            <w:pPr>
              <w:suppressAutoHyphens/>
              <w:spacing w:line="263" w:lineRule="atLeast"/>
              <w:jc w:val="center"/>
              <w:rPr>
                <w:spacing w:val="-3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1561F7" w:rsidRDefault="001561F7" w:rsidP="00652F3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</w:tbl>
    <w:p w:rsidR="003D1543" w:rsidRPr="0050466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F340EF" w:rsidRDefault="00F340EF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340EF" w:rsidRPr="00893259" w:rsidRDefault="00F340EF" w:rsidP="00F340E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1371DD" w:rsidRPr="00F054D9" w:rsidRDefault="001371DD" w:rsidP="0095101F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line="240" w:lineRule="atLeast"/>
        <w:ind w:left="426" w:hanging="426"/>
        <w:jc w:val="both"/>
        <w:rPr>
          <w:lang w:val="en-GB"/>
        </w:rPr>
      </w:pPr>
      <w:r w:rsidRPr="001371DD">
        <w:rPr>
          <w:lang w:val="en-GB"/>
        </w:rPr>
        <w:t>NO</w:t>
      </w:r>
      <w:r w:rsidRPr="001371DD">
        <w:rPr>
          <w:vertAlign w:val="subscript"/>
          <w:lang w:val="en-GB"/>
        </w:rPr>
        <w:t>3</w:t>
      </w:r>
      <w:r w:rsidRPr="001371DD">
        <w:rPr>
          <w:lang w:val="en-GB"/>
        </w:rPr>
        <w:t xml:space="preserve"> radicals were produced by laser flash photolysis of </w:t>
      </w:r>
      <w:r w:rsidR="005E4C44">
        <w:rPr>
          <w:lang w:val="en-GB"/>
        </w:rPr>
        <w:t>S</w:t>
      </w:r>
      <w:r w:rsidR="005E4C44" w:rsidRPr="005E4C44">
        <w:rPr>
          <w:vertAlign w:val="subscript"/>
          <w:lang w:val="en-GB"/>
        </w:rPr>
        <w:t>2</w:t>
      </w:r>
      <w:r w:rsidR="005E4C44">
        <w:rPr>
          <w:lang w:val="en-GB"/>
        </w:rPr>
        <w:t>O</w:t>
      </w:r>
      <w:r w:rsidR="005E4C44" w:rsidRPr="005E4C44">
        <w:rPr>
          <w:vertAlign w:val="subscript"/>
          <w:lang w:val="en-GB"/>
        </w:rPr>
        <w:t>8</w:t>
      </w:r>
      <w:r w:rsidR="005E4C44" w:rsidRPr="005E4C44">
        <w:rPr>
          <w:vertAlign w:val="superscript"/>
          <w:lang w:val="en-GB"/>
        </w:rPr>
        <w:t>2-</w:t>
      </w:r>
      <w:r w:rsidRPr="001371DD">
        <w:rPr>
          <w:lang w:val="en-GB"/>
        </w:rPr>
        <w:t xml:space="preserve"> anions (λ = 351 nm). The pH (0.5 and 6) was adjusted by adding HClO</w:t>
      </w:r>
      <w:r w:rsidRPr="001371DD">
        <w:rPr>
          <w:vertAlign w:val="subscript"/>
          <w:lang w:val="en-GB"/>
        </w:rPr>
        <w:t>4</w:t>
      </w:r>
      <w:r w:rsidRPr="001371DD">
        <w:rPr>
          <w:lang w:val="en-GB"/>
        </w:rPr>
        <w:t xml:space="preserve">. </w:t>
      </w:r>
      <w:r w:rsidR="003C6E51">
        <w:rPr>
          <w:lang w:val="en-GB"/>
        </w:rPr>
        <w:t xml:space="preserve">Analysis light at </w:t>
      </w:r>
      <w:r w:rsidR="00F054D9">
        <w:rPr>
          <w:lang w:val="en-GB"/>
        </w:rPr>
        <w:t>λ</w:t>
      </w:r>
      <w:r w:rsidR="003C6E51">
        <w:rPr>
          <w:lang w:val="en-GB"/>
        </w:rPr>
        <w:t> </w:t>
      </w:r>
      <w:r w:rsidRPr="001371DD">
        <w:rPr>
          <w:lang w:val="en-GB"/>
        </w:rPr>
        <w:t>=</w:t>
      </w:r>
      <w:r w:rsidR="003C6E51">
        <w:rPr>
          <w:lang w:val="en-GB"/>
        </w:rPr>
        <w:t> </w:t>
      </w:r>
      <w:r w:rsidRPr="001371DD">
        <w:rPr>
          <w:lang w:val="en-GB"/>
        </w:rPr>
        <w:t>632.8</w:t>
      </w:r>
      <w:r w:rsidR="003C6E51">
        <w:rPr>
          <w:lang w:val="en-GB"/>
        </w:rPr>
        <w:t> </w:t>
      </w:r>
      <w:r w:rsidRPr="001371DD">
        <w:rPr>
          <w:lang w:val="en-GB"/>
        </w:rPr>
        <w:t>nm</w:t>
      </w:r>
      <w:r w:rsidR="003C6E51">
        <w:rPr>
          <w:lang w:val="en-GB"/>
        </w:rPr>
        <w:t xml:space="preserve">; </w:t>
      </w:r>
      <w:r w:rsidR="005E4C44">
        <w:rPr>
          <w:lang w:val="en-GB"/>
        </w:rPr>
        <w:t xml:space="preserve"> pK</w:t>
      </w:r>
      <w:r w:rsidR="005E4C44" w:rsidRPr="00A708D9">
        <w:rPr>
          <w:vertAlign w:val="subscript"/>
          <w:lang w:val="en-GB"/>
        </w:rPr>
        <w:t>a</w:t>
      </w:r>
      <w:r w:rsidR="005E4C44">
        <w:rPr>
          <w:lang w:val="en-GB"/>
        </w:rPr>
        <w:t xml:space="preserve"> value for Glycolic acid </w:t>
      </w:r>
      <w:r w:rsidR="003C6E51">
        <w:rPr>
          <w:lang w:val="en-GB"/>
        </w:rPr>
        <w:t>can be found in Lide (1996</w:t>
      </w:r>
      <w:r w:rsidR="005E4C44">
        <w:rPr>
          <w:lang w:val="en-GB"/>
        </w:rPr>
        <w:t>) (pK</w:t>
      </w:r>
      <w:r w:rsidR="005E4C44" w:rsidRPr="00A708D9">
        <w:rPr>
          <w:vertAlign w:val="subscript"/>
          <w:lang w:val="en-GB"/>
        </w:rPr>
        <w:t>a</w:t>
      </w:r>
      <w:r w:rsidR="005E4C44">
        <w:rPr>
          <w:lang w:val="en-GB"/>
        </w:rPr>
        <w:t> = 3.83).</w:t>
      </w:r>
    </w:p>
    <w:p w:rsidR="00FA7707" w:rsidRPr="001371DD" w:rsidRDefault="00FA7707" w:rsidP="00875CB1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GB"/>
        </w:rPr>
      </w:pPr>
    </w:p>
    <w:p w:rsidR="00FA7707" w:rsidRPr="00F16250" w:rsidRDefault="00FA7707" w:rsidP="00FA770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FA7707" w:rsidRPr="00F16250" w:rsidRDefault="00FA7707" w:rsidP="00FA770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FA7707" w:rsidRPr="00F16250" w:rsidTr="00D3615A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FA7707" w:rsidRPr="00F16250" w:rsidTr="00D3615A">
        <w:tc>
          <w:tcPr>
            <w:tcW w:w="2059" w:type="dxa"/>
            <w:tcBorders>
              <w:top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FA7707" w:rsidRPr="004901BF" w:rsidTr="00D3615A">
        <w:tc>
          <w:tcPr>
            <w:tcW w:w="2059" w:type="dxa"/>
          </w:tcPr>
          <w:p w:rsidR="00FA7707" w:rsidRPr="004901BF" w:rsidRDefault="00FA7707" w:rsidP="003C6E5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3C6E51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FA7707" w:rsidRPr="004901BF" w:rsidRDefault="00A9299E" w:rsidP="009406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spacing w:val="-3"/>
                <w:lang w:val="en-CA"/>
              </w:rPr>
              <w:t xml:space="preserve">9.1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5</w:t>
            </w:r>
          </w:p>
        </w:tc>
        <w:tc>
          <w:tcPr>
            <w:tcW w:w="2175" w:type="dxa"/>
          </w:tcPr>
          <w:p w:rsidR="00FA7707" w:rsidRPr="004901BF" w:rsidRDefault="00A9299E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FA7707" w:rsidRPr="0098240E" w:rsidTr="00D3615A">
        <w:tc>
          <w:tcPr>
            <w:tcW w:w="2059" w:type="dxa"/>
          </w:tcPr>
          <w:p w:rsidR="00FA7707" w:rsidRPr="0098240E" w:rsidRDefault="00CB0AD3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 w:rsidRPr="0095101F">
              <w:rPr>
                <w:i/>
                <w:spacing w:val="-3"/>
                <w:lang w:val="en-CA"/>
              </w:rPr>
              <w:t>k</w:t>
            </w:r>
            <w:r w:rsidRPr="0095101F">
              <w:rPr>
                <w:spacing w:val="-3"/>
                <w:vertAlign w:val="subscript"/>
                <w:lang w:val="en-CA"/>
              </w:rPr>
              <w:t>1</w:t>
            </w:r>
            <w:r w:rsidRPr="00A9299E">
              <w:t>(T)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FA7707" w:rsidRPr="0098240E" w:rsidRDefault="00A9299E" w:rsidP="00CB0AD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>
              <w:rPr>
                <w:spacing w:val="-3"/>
                <w:lang w:val="en-CA"/>
              </w:rPr>
              <w:t xml:space="preserve">4.5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11</w:t>
            </w:r>
            <w:r>
              <w:rPr>
                <w:spacing w:val="-3"/>
                <w:lang w:val="en-CA"/>
              </w:rPr>
              <w:t xml:space="preserve"> exp[(-3969)/T]</w:t>
            </w:r>
          </w:p>
        </w:tc>
        <w:tc>
          <w:tcPr>
            <w:tcW w:w="2175" w:type="dxa"/>
          </w:tcPr>
          <w:p w:rsidR="00FA7707" w:rsidRPr="00A9299E" w:rsidRDefault="00A9299E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highlight w:val="yellow"/>
              </w:rPr>
            </w:pPr>
            <w:r w:rsidRPr="00A9299E">
              <w:t>278 – 318 K</w:t>
            </w:r>
          </w:p>
        </w:tc>
      </w:tr>
      <w:tr w:rsidR="009406B6" w:rsidRPr="004901BF" w:rsidTr="00D3615A">
        <w:tc>
          <w:tcPr>
            <w:tcW w:w="2059" w:type="dxa"/>
          </w:tcPr>
          <w:p w:rsidR="009406B6" w:rsidRDefault="009406B6" w:rsidP="003C6E5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9406B6" w:rsidRDefault="009406B6" w:rsidP="009406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spacing w:val="-3"/>
                <w:lang w:val="en-CA"/>
              </w:rPr>
            </w:pPr>
          </w:p>
        </w:tc>
        <w:tc>
          <w:tcPr>
            <w:tcW w:w="2175" w:type="dxa"/>
          </w:tcPr>
          <w:p w:rsidR="009406B6" w:rsidRDefault="009406B6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FA7707" w:rsidRPr="004901BF" w:rsidTr="00D3615A">
        <w:tc>
          <w:tcPr>
            <w:tcW w:w="2059" w:type="dxa"/>
          </w:tcPr>
          <w:p w:rsidR="00FA7707" w:rsidRPr="004901BF" w:rsidRDefault="00FA7707" w:rsidP="003C6E5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3C6E51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FA7707" w:rsidRPr="004901BF" w:rsidRDefault="00A9299E" w:rsidP="009406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spacing w:val="-3"/>
                <w:lang w:val="en-CA"/>
              </w:rPr>
              <w:t xml:space="preserve">1.0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7</w:t>
            </w:r>
          </w:p>
        </w:tc>
        <w:tc>
          <w:tcPr>
            <w:tcW w:w="2175" w:type="dxa"/>
          </w:tcPr>
          <w:p w:rsidR="00FA7707" w:rsidRPr="004901BF" w:rsidRDefault="00A9299E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FA7707" w:rsidRPr="0098240E" w:rsidTr="00D3615A">
        <w:tc>
          <w:tcPr>
            <w:tcW w:w="2059" w:type="dxa"/>
          </w:tcPr>
          <w:p w:rsidR="00FA7707" w:rsidRPr="0098240E" w:rsidRDefault="00CB0AD3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>
              <w:rPr>
                <w:i/>
                <w:spacing w:val="-3"/>
                <w:lang w:val="en-CA"/>
              </w:rPr>
              <w:t>k</w:t>
            </w:r>
            <w:r>
              <w:rPr>
                <w:spacing w:val="-3"/>
                <w:vertAlign w:val="subscript"/>
                <w:lang w:val="en-CA"/>
              </w:rPr>
              <w:t>2</w:t>
            </w:r>
            <w:r>
              <w:rPr>
                <w:spacing w:val="-3"/>
                <w:lang w:val="en-CA"/>
              </w:rPr>
              <w:t>(T)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FA7707" w:rsidRPr="0098240E" w:rsidRDefault="00A9299E" w:rsidP="00CB0AD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>
              <w:rPr>
                <w:spacing w:val="-3"/>
                <w:lang w:val="en-CA"/>
              </w:rPr>
              <w:t xml:space="preserve">1.8 </w:t>
            </w:r>
            <w:r w:rsidRPr="00FA0C8D">
              <w:rPr>
                <w:spacing w:val="-3"/>
                <w:lang w:val="en-CA"/>
              </w:rPr>
              <w:t>× 10</w:t>
            </w:r>
            <w:r>
              <w:rPr>
                <w:spacing w:val="-3"/>
                <w:vertAlign w:val="superscript"/>
                <w:lang w:val="en-CA"/>
              </w:rPr>
              <w:t>11</w:t>
            </w:r>
            <w:r w:rsidR="00CB0AD3">
              <w:rPr>
                <w:spacing w:val="-3"/>
                <w:lang w:val="en-CA"/>
              </w:rPr>
              <w:t xml:space="preserve"> </w:t>
            </w:r>
            <w:r w:rsidR="00AE28A7">
              <w:rPr>
                <w:spacing w:val="-3"/>
                <w:lang w:val="en-CA"/>
              </w:rPr>
              <w:t>exp[(-3007</w:t>
            </w:r>
            <w:r>
              <w:rPr>
                <w:spacing w:val="-3"/>
                <w:lang w:val="en-CA"/>
              </w:rPr>
              <w:t>)/T]</w:t>
            </w:r>
          </w:p>
        </w:tc>
        <w:tc>
          <w:tcPr>
            <w:tcW w:w="2175" w:type="dxa"/>
          </w:tcPr>
          <w:p w:rsidR="00FA7707" w:rsidRPr="0098240E" w:rsidRDefault="00A9299E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 w:rsidRPr="00A9299E">
              <w:t>278 – 318 K</w:t>
            </w:r>
          </w:p>
        </w:tc>
      </w:tr>
    </w:tbl>
    <w:p w:rsidR="00FA7707" w:rsidRPr="0098240E" w:rsidRDefault="00FA7707" w:rsidP="00FA770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de-DE" w:eastAsia="de-DE"/>
        </w:rPr>
      </w:pPr>
    </w:p>
    <w:p w:rsidR="00FA7707" w:rsidRPr="008F5A1A" w:rsidRDefault="00FA7707" w:rsidP="00FA770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  <w:r w:rsidRPr="008F5A1A">
        <w:rPr>
          <w:rFonts w:ascii="Times New Roman" w:hAnsi="Times New Roman" w:cs="Times New Roman"/>
          <w:i/>
          <w:color w:val="000000"/>
          <w:lang w:val="de-DE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FA7707" w:rsidRPr="008F5A1A" w:rsidTr="00D3615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8F5A1A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032F39">
              <w:rPr>
                <w:rFonts w:ascii="Times New Roman" w:hAnsi="Times New Roman" w:cs="Times New Roman"/>
                <w:color w:val="000000"/>
                <w:lang w:val="de-DE" w:eastAsia="de-DE"/>
              </w:rPr>
              <w:t>0.13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9406B6" w:rsidRDefault="009406B6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FA7707" w:rsidRPr="00F16250" w:rsidTr="00D3615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8F5A1A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1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F16250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A9299E">
              <w:rPr>
                <w:rFonts w:ascii="Times New Roman" w:hAnsi="Times New Roman" w:cs="Times New Roman"/>
                <w:color w:val="000000"/>
                <w:lang w:val="de-DE" w:eastAsia="de-DE"/>
              </w:rPr>
              <w:t>1700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9406B6" w:rsidRDefault="009406B6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278 – 318</w:t>
            </w:r>
          </w:p>
        </w:tc>
      </w:tr>
      <w:tr w:rsidR="00FA7707" w:rsidRPr="00F16250" w:rsidTr="00D3615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9406B6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FA7707" w:rsidRPr="00F16250" w:rsidTr="00D3615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8F5A1A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032F39">
              <w:rPr>
                <w:rFonts w:ascii="Times New Roman" w:hAnsi="Times New Roman" w:cs="Times New Roman"/>
                <w:color w:val="000000"/>
                <w:lang w:val="de-DE" w:eastAsia="de-DE"/>
              </w:rPr>
              <w:t>0.10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9406B6" w:rsidRDefault="009406B6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FA7707" w:rsidRPr="00F16250" w:rsidTr="00D3615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lastRenderedPageBreak/>
              <w:t>Δ E</w:t>
            </w:r>
            <w:r w:rsidRPr="008F5A1A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2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8F5A1A" w:rsidRDefault="00FA7707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A9299E">
              <w:rPr>
                <w:rFonts w:ascii="Times New Roman" w:hAnsi="Times New Roman" w:cs="Times New Roman"/>
                <w:color w:val="000000"/>
                <w:lang w:val="de-DE" w:eastAsia="de-DE"/>
              </w:rPr>
              <w:t>1100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7707" w:rsidRPr="009406B6" w:rsidRDefault="009406B6" w:rsidP="00D361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278 - 318</w:t>
            </w:r>
          </w:p>
        </w:tc>
      </w:tr>
    </w:tbl>
    <w:p w:rsidR="00A9299E" w:rsidRDefault="00A9299E" w:rsidP="00FA770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p w:rsidR="00CB0AD3" w:rsidRDefault="00CB0AD3" w:rsidP="00FA770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p w:rsidR="00FA7707" w:rsidRPr="00F16250" w:rsidRDefault="00FA7707" w:rsidP="00FA770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FA7707" w:rsidRDefault="00FA7707" w:rsidP="00FA770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FA7707" w:rsidRDefault="00A9299E" w:rsidP="00A9299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  <w:r>
        <w:rPr>
          <w:spacing w:val="-2"/>
          <w:lang w:val="en-GB"/>
        </w:rPr>
        <w:t>The recommended values are from the currently only available study on these reactions. The activation energies carry considerable error.</w:t>
      </w:r>
    </w:p>
    <w:p w:rsidR="00A9299E" w:rsidRDefault="00A9299E" w:rsidP="00A9299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CB0AD3" w:rsidRDefault="00CB0AD3" w:rsidP="00A9299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FA7707" w:rsidRDefault="00FA7707" w:rsidP="0095101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7C1BA6" w:rsidRDefault="00821651" w:rsidP="0095101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821651" w:rsidRPr="007C1BA6" w:rsidRDefault="00821651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5E4C44" w:rsidRDefault="005E4C44" w:rsidP="00F340EF">
      <w:pPr>
        <w:pStyle w:val="headertext"/>
        <w:tabs>
          <w:tab w:val="left" w:pos="426"/>
          <w:tab w:val="left" w:pos="567"/>
        </w:tabs>
        <w:ind w:left="426" w:hanging="426"/>
        <w:rPr>
          <w:spacing w:val="-3"/>
          <w:lang w:val="en-US"/>
        </w:rPr>
      </w:pPr>
      <w:r>
        <w:rPr>
          <w:spacing w:val="-3"/>
          <w:lang w:val="en-US"/>
        </w:rPr>
        <w:t>Lide, D.R.: “CRC Handbook of Chemistry and Physics”, 76</w:t>
      </w:r>
      <w:r w:rsidRPr="00511AC8">
        <w:rPr>
          <w:spacing w:val="-3"/>
          <w:vertAlign w:val="superscript"/>
          <w:lang w:val="en-US"/>
        </w:rPr>
        <w:t>th</w:t>
      </w:r>
      <w:r>
        <w:rPr>
          <w:spacing w:val="-3"/>
          <w:lang w:val="en-US"/>
        </w:rPr>
        <w:t xml:space="preserve"> Ed., CRC Press, Boca Raton, 1996.</w:t>
      </w:r>
    </w:p>
    <w:p w:rsidR="00220181" w:rsidRDefault="001C5769" w:rsidP="00F340EF">
      <w:pPr>
        <w:pStyle w:val="headertext"/>
        <w:tabs>
          <w:tab w:val="left" w:pos="426"/>
          <w:tab w:val="left" w:pos="567"/>
        </w:tabs>
        <w:ind w:left="426" w:hanging="426"/>
      </w:pPr>
      <w:r w:rsidRPr="001C5769">
        <w:t>Gaillard de Semainville, Ph.</w:t>
      </w:r>
      <w:r w:rsidR="001371DD">
        <w:t>,</w:t>
      </w:r>
      <w:r w:rsidRPr="001C5769">
        <w:t xml:space="preserve"> Hoffmann, D.</w:t>
      </w:r>
      <w:r w:rsidR="001371DD">
        <w:t>,</w:t>
      </w:r>
      <w:r w:rsidRPr="001C5769">
        <w:t xml:space="preserve"> George, Ch.</w:t>
      </w:r>
      <w:r w:rsidR="00CB0AD3">
        <w:t xml:space="preserve"> and</w:t>
      </w:r>
      <w:r w:rsidRPr="001C5769">
        <w:t xml:space="preserve"> Herrmann, H.: </w:t>
      </w:r>
      <w:r w:rsidRPr="001371DD">
        <w:t>Phys. Chem. Chem. Phys.</w:t>
      </w:r>
      <w:r w:rsidR="001371DD" w:rsidRPr="001371DD">
        <w:t>,</w:t>
      </w:r>
      <w:r w:rsidRPr="001371DD">
        <w:t xml:space="preserve"> 9, 958 - 968, 2007.</w:t>
      </w:r>
    </w:p>
    <w:p w:rsidR="001D6CBA" w:rsidRDefault="0082131F" w:rsidP="00E02483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0" w:hanging="420"/>
        <w:jc w:val="both"/>
        <w:rPr>
          <w:spacing w:val="-3"/>
          <w:lang w:val="en-US"/>
        </w:rPr>
      </w:pPr>
      <w:r>
        <w:rPr>
          <w:noProof/>
          <w:spacing w:val="-3"/>
          <w:lang w:val="en-GB" w:eastAsia="en-GB"/>
        </w:rPr>
        <w:drawing>
          <wp:inline distT="0" distB="0" distL="0" distR="0">
            <wp:extent cx="5748655" cy="4063365"/>
            <wp:effectExtent l="0" t="0" r="4445" b="0"/>
            <wp:docPr id="1" name="Image 1" descr="Sigma Plot Glycolic acid_NO3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 Plot Glycolic acid_NO3 V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E1" w:rsidRPr="004B760B" w:rsidRDefault="00AD44E1" w:rsidP="00AD44E1">
      <w:pPr>
        <w:ind w:left="426" w:hanging="426"/>
      </w:pPr>
      <w:r>
        <w:t xml:space="preserve">Figure 1: T-dependent rate constants for the reaction of glycolic acid and glycolate with OH in aqueous solution. Data from </w:t>
      </w:r>
      <w:r w:rsidR="00CB0AD3">
        <w:t>de Semainville</w:t>
      </w:r>
      <w:r>
        <w:t xml:space="preserve"> et al. (20</w:t>
      </w:r>
      <w:r w:rsidR="00CB0AD3">
        <w:t>07</w:t>
      </w:r>
      <w:r>
        <w:t>).</w:t>
      </w:r>
    </w:p>
    <w:p w:rsidR="00AD44E1" w:rsidRPr="00E02483" w:rsidRDefault="00AD44E1" w:rsidP="00E02483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0" w:hanging="420"/>
        <w:jc w:val="both"/>
        <w:rPr>
          <w:spacing w:val="-3"/>
          <w:lang w:val="en-US"/>
        </w:rPr>
      </w:pPr>
    </w:p>
    <w:sectPr w:rsidR="00AD44E1" w:rsidRPr="00E02483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13"/>
    <w:multiLevelType w:val="hybridMultilevel"/>
    <w:tmpl w:val="46EC2FD4"/>
    <w:lvl w:ilvl="0" w:tplc="82568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B517D4"/>
    <w:multiLevelType w:val="hybridMultilevel"/>
    <w:tmpl w:val="346A5206"/>
    <w:lvl w:ilvl="0" w:tplc="95FA00D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B07E69"/>
    <w:multiLevelType w:val="hybridMultilevel"/>
    <w:tmpl w:val="D1A8A0C8"/>
    <w:lvl w:ilvl="0" w:tplc="415A8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5270"/>
    <w:multiLevelType w:val="hybridMultilevel"/>
    <w:tmpl w:val="9F86766C"/>
    <w:lvl w:ilvl="0" w:tplc="FEE06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90105"/>
    <w:multiLevelType w:val="hybridMultilevel"/>
    <w:tmpl w:val="2BC20496"/>
    <w:lvl w:ilvl="0" w:tplc="C6D8C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134"/>
    <w:multiLevelType w:val="hybridMultilevel"/>
    <w:tmpl w:val="4B7C2FD2"/>
    <w:lvl w:ilvl="0" w:tplc="6E288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365CCD"/>
    <w:multiLevelType w:val="hybridMultilevel"/>
    <w:tmpl w:val="C866A45C"/>
    <w:lvl w:ilvl="0" w:tplc="97DA1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003186"/>
    <w:rsid w:val="0000681C"/>
    <w:rsid w:val="000100DA"/>
    <w:rsid w:val="000142D0"/>
    <w:rsid w:val="000226C3"/>
    <w:rsid w:val="00032D98"/>
    <w:rsid w:val="00032F39"/>
    <w:rsid w:val="00037BE6"/>
    <w:rsid w:val="00053BFF"/>
    <w:rsid w:val="000623D4"/>
    <w:rsid w:val="00063311"/>
    <w:rsid w:val="00064D18"/>
    <w:rsid w:val="00064EF9"/>
    <w:rsid w:val="000702C3"/>
    <w:rsid w:val="00077A3A"/>
    <w:rsid w:val="00081DF2"/>
    <w:rsid w:val="000857CF"/>
    <w:rsid w:val="00090C16"/>
    <w:rsid w:val="000921DC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673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371DD"/>
    <w:rsid w:val="00145C54"/>
    <w:rsid w:val="00153BFD"/>
    <w:rsid w:val="001561F7"/>
    <w:rsid w:val="001574B6"/>
    <w:rsid w:val="00157A3A"/>
    <w:rsid w:val="001610FB"/>
    <w:rsid w:val="001637C3"/>
    <w:rsid w:val="0018083C"/>
    <w:rsid w:val="0018490C"/>
    <w:rsid w:val="00192FCA"/>
    <w:rsid w:val="00195B6D"/>
    <w:rsid w:val="001977C2"/>
    <w:rsid w:val="001A1912"/>
    <w:rsid w:val="001B27BC"/>
    <w:rsid w:val="001C5769"/>
    <w:rsid w:val="001D6CBA"/>
    <w:rsid w:val="001E1C70"/>
    <w:rsid w:val="001E4685"/>
    <w:rsid w:val="001F4EB5"/>
    <w:rsid w:val="0020061C"/>
    <w:rsid w:val="002103C5"/>
    <w:rsid w:val="00211051"/>
    <w:rsid w:val="00213E99"/>
    <w:rsid w:val="00215F21"/>
    <w:rsid w:val="00220181"/>
    <w:rsid w:val="00220DDF"/>
    <w:rsid w:val="0022452F"/>
    <w:rsid w:val="00263497"/>
    <w:rsid w:val="00266D30"/>
    <w:rsid w:val="002837BB"/>
    <w:rsid w:val="002862D6"/>
    <w:rsid w:val="002952DE"/>
    <w:rsid w:val="002979B8"/>
    <w:rsid w:val="002A1F8D"/>
    <w:rsid w:val="002A4717"/>
    <w:rsid w:val="002A674A"/>
    <w:rsid w:val="002B10B1"/>
    <w:rsid w:val="002B127C"/>
    <w:rsid w:val="002B23A6"/>
    <w:rsid w:val="002B6012"/>
    <w:rsid w:val="002C7E9C"/>
    <w:rsid w:val="002D191B"/>
    <w:rsid w:val="0030119A"/>
    <w:rsid w:val="00303330"/>
    <w:rsid w:val="00304CDC"/>
    <w:rsid w:val="003263B4"/>
    <w:rsid w:val="00336897"/>
    <w:rsid w:val="003515B2"/>
    <w:rsid w:val="00352F06"/>
    <w:rsid w:val="003570CC"/>
    <w:rsid w:val="003610F8"/>
    <w:rsid w:val="0036323E"/>
    <w:rsid w:val="00390D27"/>
    <w:rsid w:val="003A2660"/>
    <w:rsid w:val="003A5A2D"/>
    <w:rsid w:val="003A71F8"/>
    <w:rsid w:val="003B37E9"/>
    <w:rsid w:val="003B72AC"/>
    <w:rsid w:val="003C6E51"/>
    <w:rsid w:val="003D0949"/>
    <w:rsid w:val="003D1543"/>
    <w:rsid w:val="003F1CCB"/>
    <w:rsid w:val="00402E8B"/>
    <w:rsid w:val="00405E8B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13F5"/>
    <w:rsid w:val="00484C52"/>
    <w:rsid w:val="004A407F"/>
    <w:rsid w:val="004A7BA6"/>
    <w:rsid w:val="004C3213"/>
    <w:rsid w:val="004C4D3E"/>
    <w:rsid w:val="004C6446"/>
    <w:rsid w:val="004E7108"/>
    <w:rsid w:val="004F0504"/>
    <w:rsid w:val="004F7104"/>
    <w:rsid w:val="00501D48"/>
    <w:rsid w:val="00502F51"/>
    <w:rsid w:val="00504663"/>
    <w:rsid w:val="00505161"/>
    <w:rsid w:val="00505A10"/>
    <w:rsid w:val="00506140"/>
    <w:rsid w:val="00513019"/>
    <w:rsid w:val="00515086"/>
    <w:rsid w:val="00524D09"/>
    <w:rsid w:val="0052608B"/>
    <w:rsid w:val="005424C6"/>
    <w:rsid w:val="00560013"/>
    <w:rsid w:val="00563200"/>
    <w:rsid w:val="00565A6E"/>
    <w:rsid w:val="0057662D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731B"/>
    <w:rsid w:val="005E4C44"/>
    <w:rsid w:val="005E518D"/>
    <w:rsid w:val="00613C73"/>
    <w:rsid w:val="00615583"/>
    <w:rsid w:val="00636A12"/>
    <w:rsid w:val="0063704E"/>
    <w:rsid w:val="00652F32"/>
    <w:rsid w:val="00663250"/>
    <w:rsid w:val="00670889"/>
    <w:rsid w:val="00675054"/>
    <w:rsid w:val="006862B0"/>
    <w:rsid w:val="006A1A56"/>
    <w:rsid w:val="006A2320"/>
    <w:rsid w:val="006A6692"/>
    <w:rsid w:val="006B2DDA"/>
    <w:rsid w:val="006D2807"/>
    <w:rsid w:val="006D5DBD"/>
    <w:rsid w:val="006E1881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D11C1"/>
    <w:rsid w:val="007E5705"/>
    <w:rsid w:val="007E57D2"/>
    <w:rsid w:val="007E7B8E"/>
    <w:rsid w:val="007F017D"/>
    <w:rsid w:val="007F04C8"/>
    <w:rsid w:val="007F2DF3"/>
    <w:rsid w:val="008061CF"/>
    <w:rsid w:val="00816FDF"/>
    <w:rsid w:val="0082131F"/>
    <w:rsid w:val="00821651"/>
    <w:rsid w:val="0082456F"/>
    <w:rsid w:val="008261BC"/>
    <w:rsid w:val="008344BF"/>
    <w:rsid w:val="0083653B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3259"/>
    <w:rsid w:val="008A4EE3"/>
    <w:rsid w:val="008A733A"/>
    <w:rsid w:val="008C3846"/>
    <w:rsid w:val="008C4819"/>
    <w:rsid w:val="008D16B0"/>
    <w:rsid w:val="008D271F"/>
    <w:rsid w:val="008F0755"/>
    <w:rsid w:val="008F5774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06B6"/>
    <w:rsid w:val="00942081"/>
    <w:rsid w:val="009475A7"/>
    <w:rsid w:val="0095101F"/>
    <w:rsid w:val="00955D52"/>
    <w:rsid w:val="00962DA4"/>
    <w:rsid w:val="00976D47"/>
    <w:rsid w:val="00977BF1"/>
    <w:rsid w:val="0099441C"/>
    <w:rsid w:val="00994D88"/>
    <w:rsid w:val="009B21A3"/>
    <w:rsid w:val="009C37A2"/>
    <w:rsid w:val="009C4BE5"/>
    <w:rsid w:val="009C785D"/>
    <w:rsid w:val="009D2B8F"/>
    <w:rsid w:val="009D3390"/>
    <w:rsid w:val="009E2EEE"/>
    <w:rsid w:val="009F1CE8"/>
    <w:rsid w:val="009F405B"/>
    <w:rsid w:val="00A005C1"/>
    <w:rsid w:val="00A11587"/>
    <w:rsid w:val="00A15CD8"/>
    <w:rsid w:val="00A17123"/>
    <w:rsid w:val="00A23BD8"/>
    <w:rsid w:val="00A25342"/>
    <w:rsid w:val="00A35C85"/>
    <w:rsid w:val="00A36C41"/>
    <w:rsid w:val="00A47C2F"/>
    <w:rsid w:val="00A528B3"/>
    <w:rsid w:val="00A57E5E"/>
    <w:rsid w:val="00A74455"/>
    <w:rsid w:val="00A7500E"/>
    <w:rsid w:val="00A80284"/>
    <w:rsid w:val="00A840F2"/>
    <w:rsid w:val="00A90959"/>
    <w:rsid w:val="00A91826"/>
    <w:rsid w:val="00A9299E"/>
    <w:rsid w:val="00AD0E6A"/>
    <w:rsid w:val="00AD44E1"/>
    <w:rsid w:val="00AE28A7"/>
    <w:rsid w:val="00AF2E74"/>
    <w:rsid w:val="00AF43D2"/>
    <w:rsid w:val="00AF52EF"/>
    <w:rsid w:val="00B01FBD"/>
    <w:rsid w:val="00B07065"/>
    <w:rsid w:val="00B12B55"/>
    <w:rsid w:val="00B20C78"/>
    <w:rsid w:val="00B33FA7"/>
    <w:rsid w:val="00B52179"/>
    <w:rsid w:val="00B525A0"/>
    <w:rsid w:val="00B61525"/>
    <w:rsid w:val="00B73CCE"/>
    <w:rsid w:val="00B84B46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313A8"/>
    <w:rsid w:val="00C568C5"/>
    <w:rsid w:val="00C57B22"/>
    <w:rsid w:val="00C60D61"/>
    <w:rsid w:val="00C648E1"/>
    <w:rsid w:val="00C67300"/>
    <w:rsid w:val="00C67934"/>
    <w:rsid w:val="00C70E23"/>
    <w:rsid w:val="00C716CC"/>
    <w:rsid w:val="00C72D3C"/>
    <w:rsid w:val="00C75688"/>
    <w:rsid w:val="00C90E43"/>
    <w:rsid w:val="00C94795"/>
    <w:rsid w:val="00C96AEC"/>
    <w:rsid w:val="00CB0AD3"/>
    <w:rsid w:val="00CB0B81"/>
    <w:rsid w:val="00CD1F98"/>
    <w:rsid w:val="00CD27A8"/>
    <w:rsid w:val="00CE2122"/>
    <w:rsid w:val="00CE24B0"/>
    <w:rsid w:val="00D12D39"/>
    <w:rsid w:val="00D17C09"/>
    <w:rsid w:val="00D17F0E"/>
    <w:rsid w:val="00D2355F"/>
    <w:rsid w:val="00D25403"/>
    <w:rsid w:val="00D3615A"/>
    <w:rsid w:val="00D37F05"/>
    <w:rsid w:val="00D446E6"/>
    <w:rsid w:val="00D455A8"/>
    <w:rsid w:val="00D4710E"/>
    <w:rsid w:val="00D54A80"/>
    <w:rsid w:val="00D557B7"/>
    <w:rsid w:val="00D57669"/>
    <w:rsid w:val="00D6380E"/>
    <w:rsid w:val="00D72754"/>
    <w:rsid w:val="00D73025"/>
    <w:rsid w:val="00D76D1B"/>
    <w:rsid w:val="00D77C1D"/>
    <w:rsid w:val="00D93016"/>
    <w:rsid w:val="00DB6F16"/>
    <w:rsid w:val="00DD4724"/>
    <w:rsid w:val="00DD5CB6"/>
    <w:rsid w:val="00DF64B2"/>
    <w:rsid w:val="00DF6645"/>
    <w:rsid w:val="00E02483"/>
    <w:rsid w:val="00E16CA4"/>
    <w:rsid w:val="00E204AF"/>
    <w:rsid w:val="00E40753"/>
    <w:rsid w:val="00E50B31"/>
    <w:rsid w:val="00E7484C"/>
    <w:rsid w:val="00E8390A"/>
    <w:rsid w:val="00EC0F25"/>
    <w:rsid w:val="00EC593A"/>
    <w:rsid w:val="00EC61B0"/>
    <w:rsid w:val="00ED2B1A"/>
    <w:rsid w:val="00EE0A46"/>
    <w:rsid w:val="00EF005A"/>
    <w:rsid w:val="00EF080E"/>
    <w:rsid w:val="00EF196F"/>
    <w:rsid w:val="00F054D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40EF"/>
    <w:rsid w:val="00F35EF2"/>
    <w:rsid w:val="00F51B21"/>
    <w:rsid w:val="00F55117"/>
    <w:rsid w:val="00F62CD4"/>
    <w:rsid w:val="00F726F5"/>
    <w:rsid w:val="00F74858"/>
    <w:rsid w:val="00F90411"/>
    <w:rsid w:val="00FA0C8D"/>
    <w:rsid w:val="00FA1715"/>
    <w:rsid w:val="00FA41C3"/>
    <w:rsid w:val="00FA5651"/>
    <w:rsid w:val="00FA7707"/>
    <w:rsid w:val="00FB53C1"/>
    <w:rsid w:val="00FB64DA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lev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Normal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lev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Normal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HONO  + mineral oxide (dust) surfaces</vt:lpstr>
      <vt:lpstr>HONO  + mineral oxide (dust) surfaces</vt:lpstr>
      <vt:lpstr>HONO  + mineral oxide (dust) surfaces</vt:lpstr>
    </vt:vector>
  </TitlesOfParts>
  <Company>Paul Scherrer Institut</Company>
  <LinksUpToDate>false</LinksUpToDate>
  <CharactersWithSpaces>2202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Phuong Nguyen</cp:lastModifiedBy>
  <cp:revision>2</cp:revision>
  <dcterms:created xsi:type="dcterms:W3CDTF">2017-11-17T18:32:00Z</dcterms:created>
  <dcterms:modified xsi:type="dcterms:W3CDTF">2017-11-17T18:32:00Z</dcterms:modified>
</cp:coreProperties>
</file>