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B35639">
        <w:t>AQ_OH_84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302722">
        <w:t>November</w:t>
      </w:r>
      <w:r w:rsidR="004F65E0">
        <w:t xml:space="preserve"> 2019</w:t>
      </w:r>
      <w:r w:rsidRPr="007F4C67">
        <w:t xml:space="preserve">; last change in preferred values: </w:t>
      </w:r>
      <w:r w:rsidR="004F65E0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856F8" w:rsidRPr="00F856F8" w:rsidRDefault="00F856F8" w:rsidP="00F856F8">
      <w:pPr>
        <w:ind w:left="1440" w:hanging="589"/>
        <w:rPr>
          <w:b/>
          <w:lang w:val="pt-BR"/>
        </w:rPr>
      </w:pPr>
      <w:r>
        <w:rPr>
          <w:b/>
          <w:lang w:val="pt-BR"/>
        </w:rPr>
        <w:t>H</w:t>
      </w:r>
      <w:r>
        <w:rPr>
          <w:b/>
          <w:vertAlign w:val="subscript"/>
          <w:lang w:val="pt-BR"/>
        </w:rPr>
        <w:t>2</w:t>
      </w:r>
      <w:r>
        <w:rPr>
          <w:b/>
          <w:lang w:val="pt-BR"/>
        </w:rPr>
        <w:t>O + (CH</w:t>
      </w:r>
      <w:r w:rsidRPr="001F6431">
        <w:rPr>
          <w:b/>
          <w:vertAlign w:val="subscript"/>
          <w:lang w:val="pt-BR"/>
        </w:rPr>
        <w:t>3</w:t>
      </w:r>
      <w:r>
        <w:rPr>
          <w:b/>
          <w:lang w:val="pt-BR"/>
        </w:rPr>
        <w:t>)</w:t>
      </w:r>
      <w:r w:rsidRPr="001F6431">
        <w:rPr>
          <w:b/>
          <w:vertAlign w:val="subscript"/>
          <w:lang w:val="pt-BR"/>
        </w:rPr>
        <w:t>2</w:t>
      </w:r>
      <w:r>
        <w:rPr>
          <w:b/>
          <w:lang w:val="pt-BR"/>
        </w:rPr>
        <w:t>CHCH</w:t>
      </w:r>
      <w:r w:rsidRPr="001F6431">
        <w:rPr>
          <w:b/>
          <w:vertAlign w:val="subscript"/>
          <w:lang w:val="pt-BR"/>
        </w:rPr>
        <w:t>2</w:t>
      </w:r>
      <w:r>
        <w:rPr>
          <w:b/>
          <w:lang w:val="pt-BR"/>
        </w:rPr>
        <w:t>COCH</w:t>
      </w:r>
      <w:r w:rsidRPr="001F6431">
        <w:rPr>
          <w:b/>
          <w:vertAlign w:val="subscript"/>
          <w:lang w:val="pt-BR"/>
        </w:rPr>
        <w:t>3</w:t>
      </w:r>
      <w:r w:rsidR="00D7541D" w:rsidRPr="00D7541D">
        <w:rPr>
          <w:b/>
          <w:lang w:val="pt-BR"/>
        </w:rPr>
        <w:t xml:space="preserve"> </w:t>
      </w:r>
      <w:r w:rsidR="006A661D" w:rsidRPr="00455EA0">
        <w:rPr>
          <w:b/>
          <w:lang w:val="pt-BR"/>
        </w:rPr>
        <w:t>(aq)</w:t>
      </w:r>
      <w:r w:rsidRPr="00455EA0"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(CH</w:t>
      </w:r>
      <w:r w:rsidRPr="001F6431">
        <w:rPr>
          <w:b/>
          <w:vertAlign w:val="subscript"/>
          <w:lang w:val="pt-BR"/>
        </w:rPr>
        <w:t>3</w:t>
      </w:r>
      <w:r>
        <w:rPr>
          <w:b/>
          <w:lang w:val="pt-BR"/>
        </w:rPr>
        <w:t>)</w:t>
      </w:r>
      <w:r w:rsidRPr="001F6431">
        <w:rPr>
          <w:b/>
          <w:vertAlign w:val="subscript"/>
          <w:lang w:val="pt-BR"/>
        </w:rPr>
        <w:t>2</w:t>
      </w:r>
      <w:r>
        <w:rPr>
          <w:b/>
          <w:lang w:val="pt-BR"/>
        </w:rPr>
        <w:t>CHCH</w:t>
      </w:r>
      <w:r w:rsidRPr="001F6431">
        <w:rPr>
          <w:b/>
          <w:vertAlign w:val="subscript"/>
          <w:lang w:val="pt-BR"/>
        </w:rPr>
        <w:t>2</w:t>
      </w:r>
      <w:r>
        <w:rPr>
          <w:b/>
          <w:lang w:val="pt-BR"/>
        </w:rPr>
        <w:t>C(OH)</w:t>
      </w:r>
      <w:r w:rsidRPr="00F856F8">
        <w:rPr>
          <w:b/>
          <w:vertAlign w:val="subscript"/>
          <w:lang w:val="pt-BR"/>
        </w:rPr>
        <w:t>2</w:t>
      </w:r>
      <w:r>
        <w:rPr>
          <w:b/>
          <w:lang w:val="pt-BR"/>
        </w:rPr>
        <w:t>CH</w:t>
      </w:r>
      <w:r w:rsidRPr="001F6431">
        <w:rPr>
          <w:b/>
          <w:vertAlign w:val="subscript"/>
          <w:lang w:val="pt-BR"/>
        </w:rPr>
        <w:t>3</w:t>
      </w:r>
      <w:r w:rsidR="00D7541D" w:rsidRPr="00D7541D">
        <w:rPr>
          <w:b/>
          <w:lang w:val="pt-BR"/>
        </w:rPr>
        <w:t xml:space="preserve"> </w:t>
      </w:r>
      <w:r w:rsidR="006A661D" w:rsidRPr="00455EA0">
        <w:rPr>
          <w:b/>
          <w:lang w:val="pt-BR"/>
        </w:rPr>
        <w:t>(aq)</w:t>
      </w:r>
      <w:r>
        <w:rPr>
          <w:b/>
          <w:lang w:val="pt-BR"/>
        </w:rPr>
        <w:tab/>
      </w:r>
      <w:r w:rsidRPr="00F856F8">
        <w:rPr>
          <w:b/>
          <w:lang w:val="pt-BR"/>
        </w:rPr>
        <w:tab/>
        <w:t>(1)</w:t>
      </w:r>
    </w:p>
    <w:p w:rsidR="00F856F8" w:rsidRDefault="00F856F8" w:rsidP="00F856F8">
      <w:pPr>
        <w:ind w:left="1440" w:hanging="589"/>
        <w:rPr>
          <w:b/>
          <w:lang w:val="pt-BR"/>
        </w:rPr>
      </w:pPr>
    </w:p>
    <w:p w:rsidR="00F726F5" w:rsidRDefault="004F65E0" w:rsidP="00F856F8">
      <w:pPr>
        <w:ind w:left="1440" w:hanging="589"/>
        <w:rPr>
          <w:b/>
          <w:lang w:val="pt-BR"/>
        </w:rPr>
      </w:pPr>
      <w:r>
        <w:rPr>
          <w:b/>
          <w:lang w:val="pt-BR"/>
        </w:rPr>
        <w:t>HO</w:t>
      </w:r>
      <w:r w:rsidR="00D7541D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1F6431">
        <w:rPr>
          <w:b/>
          <w:lang w:val="pt-BR"/>
        </w:rPr>
        <w:t>(CH</w:t>
      </w:r>
      <w:r w:rsidR="001F6431" w:rsidRPr="001F6431">
        <w:rPr>
          <w:b/>
          <w:vertAlign w:val="subscript"/>
          <w:lang w:val="pt-BR"/>
        </w:rPr>
        <w:t>3</w:t>
      </w:r>
      <w:r w:rsidR="001F6431">
        <w:rPr>
          <w:b/>
          <w:lang w:val="pt-BR"/>
        </w:rPr>
        <w:t>)</w:t>
      </w:r>
      <w:r w:rsidR="001F6431" w:rsidRPr="001F6431">
        <w:rPr>
          <w:b/>
          <w:vertAlign w:val="subscript"/>
          <w:lang w:val="pt-BR"/>
        </w:rPr>
        <w:t>2</w:t>
      </w:r>
      <w:r w:rsidR="001F6431">
        <w:rPr>
          <w:b/>
          <w:lang w:val="pt-BR"/>
        </w:rPr>
        <w:t>CHCH</w:t>
      </w:r>
      <w:r w:rsidR="001F6431" w:rsidRPr="001F6431">
        <w:rPr>
          <w:b/>
          <w:vertAlign w:val="subscript"/>
          <w:lang w:val="pt-BR"/>
        </w:rPr>
        <w:t>2</w:t>
      </w:r>
      <w:r w:rsidR="001F6431">
        <w:rPr>
          <w:b/>
          <w:lang w:val="pt-BR"/>
        </w:rPr>
        <w:t>COCH</w:t>
      </w:r>
      <w:r w:rsidR="001F6431" w:rsidRPr="001F6431">
        <w:rPr>
          <w:b/>
          <w:vertAlign w:val="subscript"/>
          <w:lang w:val="pt-BR"/>
        </w:rPr>
        <w:t>3</w:t>
      </w:r>
      <w:r w:rsidR="00D7541D" w:rsidRPr="00D7541D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1F6431">
        <w:rPr>
          <w:b/>
          <w:lang w:val="pt-BR"/>
        </w:rPr>
        <w:t>(CH</w:t>
      </w:r>
      <w:r w:rsidR="001F6431" w:rsidRPr="001F6431">
        <w:rPr>
          <w:b/>
          <w:vertAlign w:val="subscript"/>
          <w:lang w:val="pt-BR"/>
        </w:rPr>
        <w:t>3</w:t>
      </w:r>
      <w:r w:rsidR="001F6431">
        <w:rPr>
          <w:b/>
          <w:lang w:val="pt-BR"/>
        </w:rPr>
        <w:t>)</w:t>
      </w:r>
      <w:r w:rsidR="001F6431" w:rsidRPr="001F6431">
        <w:rPr>
          <w:b/>
          <w:vertAlign w:val="subscript"/>
          <w:lang w:val="pt-BR"/>
        </w:rPr>
        <w:t>2</w:t>
      </w:r>
      <w:r w:rsidR="001F6431">
        <w:rPr>
          <w:b/>
          <w:lang w:val="pt-BR"/>
        </w:rPr>
        <w:t>CHCHCOCH</w:t>
      </w:r>
      <w:r w:rsidR="001F6431" w:rsidRPr="001F6431">
        <w:rPr>
          <w:b/>
          <w:vertAlign w:val="subscript"/>
          <w:lang w:val="pt-BR"/>
        </w:rPr>
        <w:t>3</w:t>
      </w:r>
      <w:r w:rsidR="00D7541D" w:rsidRPr="00D7541D">
        <w:rPr>
          <w:b/>
          <w:lang w:val="pt-BR"/>
        </w:rPr>
        <w:t xml:space="preserve"> </w:t>
      </w:r>
      <w:r w:rsidR="00D7541D">
        <w:rPr>
          <w:b/>
          <w:lang w:val="pt-BR"/>
        </w:rPr>
        <w:t>(aq)</w:t>
      </w:r>
      <w:r w:rsidR="006D6759">
        <w:rPr>
          <w:b/>
          <w:lang w:val="pt-BR"/>
        </w:rPr>
        <w:t>+ H</w:t>
      </w:r>
      <w:r w:rsidR="006D6759" w:rsidRPr="006D6759">
        <w:rPr>
          <w:b/>
          <w:vertAlign w:val="subscript"/>
          <w:lang w:val="pt-BR"/>
        </w:rPr>
        <w:t>2</w:t>
      </w:r>
      <w:r w:rsidR="006D6759">
        <w:rPr>
          <w:b/>
          <w:lang w:val="pt-BR"/>
        </w:rPr>
        <w:t>O</w:t>
      </w:r>
      <w:r w:rsidR="00F856F8">
        <w:rPr>
          <w:b/>
          <w:lang w:val="pt-BR"/>
        </w:rPr>
        <w:tab/>
        <w:t>(2)</w:t>
      </w:r>
    </w:p>
    <w:p w:rsidR="00D7541D" w:rsidRDefault="00D7541D" w:rsidP="00F856F8">
      <w:pPr>
        <w:ind w:left="1440" w:hanging="589"/>
        <w:rPr>
          <w:b/>
          <w:lang w:val="pt-BR"/>
        </w:rPr>
      </w:pPr>
    </w:p>
    <w:p w:rsidR="00D7541D" w:rsidRPr="00E34BA0" w:rsidRDefault="00D7541D" w:rsidP="00D7541D">
      <w:pPr>
        <w:tabs>
          <w:tab w:val="center" w:pos="4680"/>
        </w:tabs>
        <w:suppressAutoHyphens/>
        <w:spacing w:line="240" w:lineRule="atLeast"/>
        <w:jc w:val="center"/>
        <w:rPr>
          <w:i/>
          <w:spacing w:val="-3"/>
          <w:sz w:val="20"/>
          <w:szCs w:val="20"/>
          <w:lang w:val="en-US"/>
        </w:rPr>
      </w:pPr>
      <w:r>
        <w:rPr>
          <w:i/>
          <w:spacing w:val="-3"/>
          <w:sz w:val="20"/>
          <w:szCs w:val="20"/>
          <w:lang w:val="en-US"/>
        </w:rPr>
        <w:t xml:space="preserve">(product formation taken from </w:t>
      </w:r>
      <w:r>
        <w:rPr>
          <w:i/>
          <w:spacing w:val="-3"/>
          <w:sz w:val="20"/>
          <w:szCs w:val="20"/>
          <w:lang w:val="en-US"/>
        </w:rPr>
        <w:t>Gligorovski et al., 2009</w:t>
      </w:r>
      <w:r>
        <w:rPr>
          <w:i/>
          <w:spacing w:val="-3"/>
          <w:sz w:val="20"/>
          <w:szCs w:val="20"/>
          <w:lang w:val="en-US"/>
        </w:rPr>
        <w:t>)</w:t>
      </w:r>
    </w:p>
    <w:p w:rsidR="00842FAF" w:rsidRPr="00D7541D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pt-BR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4F65E0" w:rsidTr="00B7167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4F65E0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4F65E0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4F65E0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4F65E0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F65E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F65E0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F65E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F65E0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F65E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F65E0">
              <w:rPr>
                <w:spacing w:val="-3"/>
                <w:lang w:val="en-US"/>
              </w:rPr>
              <w:t>I</w:t>
            </w: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4F65E0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4F65E0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F65E0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4F65E0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4F65E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F65E0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4F65E0" w:rsidTr="00B7167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Default="004F65E0" w:rsidP="00E54FE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(2.</w:t>
            </w:r>
            <w:r w:rsidR="002A6ABB">
              <w:rPr>
                <w:rFonts w:eastAsia="Symbol" w:cs="Symbol"/>
                <w:spacing w:val="-3"/>
                <w:lang w:val="en-GB"/>
              </w:rPr>
              <w:t>9</w:t>
            </w:r>
            <w:r w:rsidR="00302722">
              <w:rPr>
                <w:rFonts w:eastAsia="Symbol" w:cs="Symbol"/>
                <w:spacing w:val="-3"/>
                <w:lang w:val="en-GB"/>
              </w:rPr>
              <w:t xml:space="preserve"> </w:t>
            </w:r>
            <w:r>
              <w:rPr>
                <w:rFonts w:eastAsia="Symbol"/>
                <w:spacing w:val="-3"/>
                <w:lang w:val="en-GB"/>
              </w:rPr>
              <w:t>±</w:t>
            </w:r>
            <w:r>
              <w:rPr>
                <w:rFonts w:eastAsia="Symbol" w:cs="Symbol"/>
                <w:spacing w:val="-3"/>
                <w:lang w:val="en-GB"/>
              </w:rPr>
              <w:t>0.</w:t>
            </w:r>
            <w:r w:rsidR="002A6ABB">
              <w:rPr>
                <w:rFonts w:eastAsia="Symbol" w:cs="Symbol"/>
                <w:spacing w:val="-3"/>
                <w:lang w:val="en-GB"/>
              </w:rPr>
              <w:t>7</w:t>
            </w:r>
            <w:r>
              <w:rPr>
                <w:rFonts w:eastAsia="Symbol" w:cs="Symbol"/>
                <w:spacing w:val="-3"/>
                <w:lang w:val="en-GB"/>
              </w:rPr>
              <w:t>)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Default="004F65E0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Default="00C3796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Monod et al., 2005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5E0" w:rsidRPr="00197003" w:rsidRDefault="004F65E0" w:rsidP="004F65E0">
            <w:pPr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2"/>
                <w:lang w:val="en-GB"/>
              </w:rPr>
              <w:t xml:space="preserve">Dark Fenton </w:t>
            </w:r>
            <w:r w:rsidRPr="00AB48BD">
              <w:rPr>
                <w:rFonts w:eastAsia="Symbol" w:cs="Symbol"/>
                <w:spacing w:val="-2"/>
                <w:lang w:val="en-GB"/>
              </w:rPr>
              <w:t>/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GC-FID</w:t>
            </w:r>
            <w:r>
              <w:rPr>
                <w:spacing w:val="-2"/>
                <w:lang w:val="en-US"/>
              </w:rPr>
              <w:t xml:space="preserve"> (a)</w:t>
            </w:r>
          </w:p>
        </w:tc>
      </w:tr>
      <w:tr w:rsidR="004F65E0" w:rsidTr="00B7167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Pr="003067AB" w:rsidRDefault="002A6ABB" w:rsidP="007F2F6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1.25</w:t>
            </w:r>
            <w:r w:rsidR="004F65E0">
              <w:rPr>
                <w:rFonts w:eastAsia="Symbol" w:cs="Symbol"/>
                <w:spacing w:val="-3"/>
                <w:lang w:val="en-GB"/>
              </w:rPr>
              <w:t> </w:t>
            </w:r>
            <w:r w:rsidR="004F65E0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4F65E0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12</w:t>
            </w:r>
            <w:r>
              <w:rPr>
                <w:spacing w:val="-2"/>
                <w:lang w:val="en-US"/>
              </w:rPr>
              <w:t xml:space="preserve"> </w:t>
            </w:r>
            <w:r w:rsidR="004F65E0">
              <w:rPr>
                <w:spacing w:val="-2"/>
                <w:lang w:val="en-US"/>
              </w:rPr>
              <w:t>exp[-(</w:t>
            </w:r>
            <w:r>
              <w:rPr>
                <w:spacing w:val="-2"/>
                <w:lang w:val="en-US"/>
              </w:rPr>
              <w:t>1700</w:t>
            </w:r>
            <w:r w:rsidR="00302722">
              <w:rPr>
                <w:spacing w:val="-2"/>
                <w:lang w:val="en-US"/>
              </w:rPr>
              <w:t> </w:t>
            </w:r>
            <w:r w:rsidR="004F65E0">
              <w:rPr>
                <w:spacing w:val="-2"/>
                <w:lang w:val="en-US"/>
              </w:rPr>
              <w:t>±</w:t>
            </w:r>
            <w:r>
              <w:rPr>
                <w:spacing w:val="-2"/>
                <w:lang w:val="en-US"/>
              </w:rPr>
              <w:t>330</w:t>
            </w:r>
            <w:r w:rsidR="004F65E0">
              <w:rPr>
                <w:spacing w:val="-2"/>
                <w:lang w:val="en-US"/>
              </w:rPr>
              <w:t>/T)]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DB53BB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276 - 339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C3796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Pr="00197003" w:rsidRDefault="002A6ABB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2"/>
                <w:lang w:val="en-GB"/>
              </w:rPr>
              <w:t xml:space="preserve">Dark Fenton </w:t>
            </w:r>
            <w:r w:rsidRPr="00AB48BD">
              <w:rPr>
                <w:rFonts w:eastAsia="Symbol" w:cs="Symbol"/>
                <w:spacing w:val="-2"/>
                <w:lang w:val="en-GB"/>
              </w:rPr>
              <w:t>/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GC-FID</w:t>
            </w:r>
            <w:r w:rsidR="00302722">
              <w:rPr>
                <w:rFonts w:eastAsia="Symbol" w:cs="Symbol"/>
                <w:spacing w:val="-2"/>
                <w:lang w:val="en-GB"/>
              </w:rPr>
              <w:t xml:space="preserve"> (a)</w:t>
            </w:r>
          </w:p>
        </w:tc>
        <w:bookmarkStart w:id="0" w:name="_GoBack"/>
        <w:bookmarkEnd w:id="0"/>
      </w:tr>
      <w:tr w:rsidR="004F65E0" w:rsidTr="00B7167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3"/>
                <w:lang w:val="en-GB"/>
              </w:rPr>
              <w:t>(4.</w:t>
            </w:r>
            <w:r w:rsidR="002A6ABB">
              <w:rPr>
                <w:rFonts w:eastAsia="Symbol" w:cs="Symbol"/>
                <w:spacing w:val="-3"/>
                <w:lang w:val="en-GB"/>
              </w:rPr>
              <w:t>41</w:t>
            </w:r>
            <w:r w:rsidR="00302722">
              <w:rPr>
                <w:rFonts w:eastAsia="Symbol" w:cs="Symbol"/>
                <w:spacing w:val="-3"/>
                <w:lang w:val="en-GB"/>
              </w:rPr>
              <w:t xml:space="preserve"> </w:t>
            </w:r>
            <w:r>
              <w:rPr>
                <w:rFonts w:eastAsia="Symbol"/>
                <w:spacing w:val="-3"/>
                <w:lang w:val="en-GB"/>
              </w:rPr>
              <w:t>±1.</w:t>
            </w:r>
            <w:r w:rsidR="002A6ABB">
              <w:rPr>
                <w:rFonts w:eastAsia="Symbol"/>
                <w:spacing w:val="-3"/>
                <w:lang w:val="en-GB"/>
              </w:rPr>
              <w:t>5</w:t>
            </w:r>
            <w:r>
              <w:rPr>
                <w:rFonts w:eastAsia="Symbol" w:cs="Symbol"/>
                <w:spacing w:val="-3"/>
                <w:lang w:val="en-GB"/>
              </w:rPr>
              <w:t>)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6C647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 –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C3796D" w:rsidP="006C647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Default="004F65E0" w:rsidP="00B3563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Gligorovski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5E0" w:rsidRPr="00197003" w:rsidRDefault="00FA052E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LFP-LPA</w:t>
            </w:r>
            <w:r w:rsidR="004F65E0">
              <w:rPr>
                <w:spacing w:val="-2"/>
                <w:lang w:val="en-US"/>
              </w:rPr>
              <w:t xml:space="preserve"> (b)</w:t>
            </w:r>
          </w:p>
        </w:tc>
      </w:tr>
      <w:tr w:rsidR="004F65E0" w:rsidTr="00B7167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E0" w:rsidRPr="00D471E4" w:rsidRDefault="006E0E6F" w:rsidP="00B3563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5.0</w:t>
            </w:r>
            <w:r w:rsidR="004F65E0">
              <w:rPr>
                <w:rFonts w:eastAsia="Symbol" w:cs="Symbol"/>
                <w:spacing w:val="-3"/>
                <w:lang w:val="en-GB"/>
              </w:rPr>
              <w:t> </w:t>
            </w:r>
            <w:r w:rsidR="004F65E0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4F65E0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11</w:t>
            </w:r>
            <w:r>
              <w:rPr>
                <w:spacing w:val="-2"/>
                <w:lang w:val="en-US"/>
              </w:rPr>
              <w:t xml:space="preserve"> </w:t>
            </w:r>
            <w:r w:rsidR="004F65E0">
              <w:rPr>
                <w:spacing w:val="-2"/>
                <w:lang w:val="en-US"/>
              </w:rPr>
              <w:t>exp[-(</w:t>
            </w:r>
            <w:r>
              <w:rPr>
                <w:spacing w:val="-2"/>
                <w:lang w:val="en-US"/>
              </w:rPr>
              <w:t>1380</w:t>
            </w:r>
            <w:r w:rsidR="00302722">
              <w:rPr>
                <w:spacing w:val="-2"/>
                <w:lang w:val="en-US"/>
              </w:rPr>
              <w:t> </w:t>
            </w:r>
            <w:r w:rsidR="004F65E0">
              <w:rPr>
                <w:spacing w:val="-2"/>
                <w:lang w:val="en-US"/>
              </w:rPr>
              <w:t>±580/T)]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E0" w:rsidRDefault="004F65E0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278 - 3</w:t>
            </w:r>
            <w:r w:rsidR="006E0E6F">
              <w:rPr>
                <w:spacing w:val="-2"/>
                <w:lang w:val="en-US"/>
              </w:rPr>
              <w:t>0</w:t>
            </w:r>
            <w:r>
              <w:rPr>
                <w:spacing w:val="-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E0" w:rsidRDefault="004F65E0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 –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E0" w:rsidRDefault="00C3796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F65E0" w:rsidRDefault="004F65E0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5E0" w:rsidRPr="00197003" w:rsidRDefault="00C3796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LFP-LPA</w:t>
            </w:r>
            <w:r>
              <w:rPr>
                <w:spacing w:val="-2"/>
                <w:lang w:val="en-US"/>
              </w:rPr>
              <w:t xml:space="preserve"> </w:t>
            </w:r>
            <w:r w:rsidR="00595379">
              <w:rPr>
                <w:spacing w:val="-2"/>
                <w:lang w:val="en-US"/>
              </w:rPr>
              <w:t>(b1)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18157C" w:rsidRDefault="0018157C" w:rsidP="0018157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8157C" w:rsidRPr="00416E8A" w:rsidRDefault="0018157C" w:rsidP="0018157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hydration of methyl isobutyl ketone has not been discussed in the</w:t>
      </w:r>
      <w:r w:rsidR="002846C4">
        <w:rPr>
          <w:rFonts w:ascii="Times New Roman" w:hAnsi="Times New Roman" w:cs="Times New Roman"/>
          <w:spacing w:val="-3"/>
          <w:lang w:val="en-US"/>
        </w:rPr>
        <w:t xml:space="preserve"> above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="002846C4">
        <w:rPr>
          <w:rFonts w:ascii="Times New Roman" w:hAnsi="Times New Roman" w:cs="Times New Roman"/>
          <w:spacing w:val="-3"/>
          <w:lang w:val="en-US"/>
        </w:rPr>
        <w:t>references</w:t>
      </w:r>
      <w:r>
        <w:rPr>
          <w:rFonts w:ascii="Times New Roman" w:hAnsi="Times New Roman" w:cs="Times New Roman"/>
          <w:spacing w:val="-3"/>
          <w:lang w:val="en-US"/>
        </w:rPr>
        <w:t>, as the influence of hydration of higher carbonyls is neglectable. Following the calculated data of Raventos-Duran (2010) for ketone compounds, it is suggested to assume a value of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H</w:t>
      </w:r>
      <w:r>
        <w:rPr>
          <w:rFonts w:ascii="Times New Roman" w:hAnsi="Times New Roman" w:cs="Times New Roman"/>
          <w:spacing w:val="-3"/>
          <w:lang w:val="en-US"/>
        </w:rPr>
        <w:t xml:space="preserve"> ~ 10</w:t>
      </w:r>
      <w:r>
        <w:rPr>
          <w:rFonts w:ascii="Times New Roman" w:hAnsi="Times New Roman" w:cs="Times New Roman"/>
          <w:spacing w:val="-3"/>
          <w:vertAlign w:val="superscript"/>
          <w:lang w:val="en-US"/>
        </w:rPr>
        <w:t>-3</w:t>
      </w:r>
      <w:r>
        <w:rPr>
          <w:rFonts w:ascii="Times New Roman" w:hAnsi="Times New Roman" w:cs="Times New Roman"/>
          <w:spacing w:val="-3"/>
          <w:lang w:val="en-US"/>
        </w:rPr>
        <w:t>.</w:t>
      </w:r>
    </w:p>
    <w:p w:rsidR="0018157C" w:rsidRDefault="0018157C" w:rsidP="0018157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18157C" w:rsidRPr="00FE07A8" w:rsidRDefault="0018157C" w:rsidP="0018157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FE07A8">
        <w:rPr>
          <w:rFonts w:ascii="Symbol" w:eastAsia="Symbol" w:hAnsi="Symbol" w:cs="Symbol"/>
          <w:spacing w:val="-3"/>
          <w:lang w:val="en-US"/>
        </w:rPr>
        <w:t></w:t>
      </w:r>
      <w:r w:rsidRPr="00FE07A8">
        <w:rPr>
          <w:rFonts w:eastAsia="Symbol"/>
          <w:i/>
          <w:spacing w:val="-3"/>
          <w:lang w:val="en-US"/>
        </w:rPr>
        <w:t>G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iCs/>
          <w:spacing w:val="-3"/>
          <w:lang w:val="en-US"/>
        </w:rPr>
        <w:t xml:space="preserve"> (aq)</w:t>
      </w:r>
      <w:r w:rsidRPr="00FE07A8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FE07A8">
        <w:rPr>
          <w:rFonts w:ascii="Symbol" w:eastAsia="Symbol" w:hAnsi="Symbol" w:cs="Symbol"/>
          <w:i/>
          <w:spacing w:val="-3"/>
          <w:lang w:val="en-US"/>
        </w:rPr>
        <w:t>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spacing w:val="-3"/>
          <w:lang w:val="en-US"/>
        </w:rPr>
        <w:t xml:space="preserve"> (g) are not available.</w:t>
      </w:r>
    </w:p>
    <w:p w:rsidR="0018157C" w:rsidRPr="00891F90" w:rsidRDefault="0018157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A955F4" w:rsidRPr="00AB48BD" w:rsidRDefault="00FC186E" w:rsidP="00A955F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2"/>
          <w:lang w:val="en-GB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A955F4">
        <w:rPr>
          <w:spacing w:val="-2"/>
          <w:lang w:val="en-US"/>
        </w:rPr>
        <w:t>R</w:t>
      </w:r>
      <w:r w:rsidR="00A955F4" w:rsidRPr="00AB48BD">
        <w:rPr>
          <w:rFonts w:eastAsia="Symbol" w:cs="Symbol"/>
          <w:spacing w:val="-2"/>
          <w:lang w:val="en-GB"/>
        </w:rPr>
        <w:t>eference reaction</w:t>
      </w:r>
      <w:r w:rsidR="00A955F4" w:rsidRPr="00AB48BD">
        <w:rPr>
          <w:rFonts w:eastAsia="Symbol" w:cs="Symbol"/>
          <w:spacing w:val="-3"/>
          <w:lang w:val="en-GB"/>
        </w:rPr>
        <w:t xml:space="preserve">: </w:t>
      </w:r>
      <w:r w:rsidR="004F65E0">
        <w:rPr>
          <w:rFonts w:eastAsia="Symbol" w:cs="Symbol"/>
          <w:lang w:val="en-GB"/>
        </w:rPr>
        <w:t>HO</w:t>
      </w:r>
      <w:r w:rsidR="00A955F4">
        <w:rPr>
          <w:rFonts w:eastAsia="Symbol" w:cs="Symbol"/>
          <w:lang w:val="en-GB"/>
        </w:rPr>
        <w:t xml:space="preserve"> + 2</w:t>
      </w:r>
      <w:r w:rsidR="00A955F4" w:rsidRPr="00AB48BD">
        <w:rPr>
          <w:rFonts w:eastAsia="Symbol" w:cs="Symbol"/>
          <w:lang w:val="en-GB"/>
        </w:rPr>
        <w:t xml:space="preserve">-propanol; </w:t>
      </w:r>
      <w:r w:rsidR="00A955F4" w:rsidRPr="00AB48BD">
        <w:rPr>
          <w:rFonts w:eastAsia="Symbol" w:cs="Symbol"/>
          <w:i/>
          <w:lang w:val="en-GB"/>
        </w:rPr>
        <w:t>k</w:t>
      </w:r>
      <w:r w:rsidR="00A955F4" w:rsidRPr="00AB48BD">
        <w:rPr>
          <w:rFonts w:eastAsia="Symbol" w:cs="Symbol"/>
          <w:lang w:val="en-GB"/>
        </w:rPr>
        <w:t>(</w:t>
      </w:r>
      <w:r w:rsidR="004F65E0">
        <w:rPr>
          <w:rFonts w:eastAsia="Symbol" w:cs="Symbol"/>
          <w:lang w:val="en-GB"/>
        </w:rPr>
        <w:t>HO</w:t>
      </w:r>
      <w:r w:rsidR="00A955F4">
        <w:rPr>
          <w:rFonts w:eastAsia="Symbol" w:cs="Symbol"/>
          <w:spacing w:val="-3"/>
          <w:lang w:val="en-GB"/>
        </w:rPr>
        <w:t xml:space="preserve"> + 2</w:t>
      </w:r>
      <w:r w:rsidR="00A955F4" w:rsidRPr="00AB48BD">
        <w:rPr>
          <w:rFonts w:eastAsia="Symbol" w:cs="Symbol"/>
          <w:spacing w:val="-3"/>
          <w:lang w:val="en-GB"/>
        </w:rPr>
        <w:t xml:space="preserve">-propanol) = </w:t>
      </w:r>
      <w:r w:rsidR="00B36F6A">
        <w:rPr>
          <w:rFonts w:eastAsia="Symbol" w:cs="Symbol"/>
          <w:spacing w:val="-3"/>
          <w:lang w:val="en-GB"/>
        </w:rPr>
        <w:t>1.6</w:t>
      </w:r>
      <w:r w:rsidR="00A955F4">
        <w:rPr>
          <w:rFonts w:eastAsia="Symbol" w:cs="Symbol"/>
          <w:spacing w:val="-3"/>
          <w:lang w:val="en-GB"/>
        </w:rPr>
        <w:t> </w:t>
      </w:r>
      <w:r w:rsidR="00A955F4" w:rsidRPr="00AB48BD">
        <w:rPr>
          <w:rFonts w:ascii="Symbol" w:eastAsia="Symbol" w:hAnsi="Symbol" w:cs="Symbol"/>
          <w:spacing w:val="-3"/>
          <w:lang w:val="en-GB"/>
        </w:rPr>
        <w:t></w:t>
      </w:r>
      <w:r w:rsidR="00A955F4">
        <w:rPr>
          <w:rFonts w:eastAsia="Symbol" w:cs="Symbol"/>
          <w:spacing w:val="-2"/>
          <w:lang w:val="en-GB"/>
        </w:rPr>
        <w:t> </w:t>
      </w:r>
      <w:r w:rsidR="00A955F4" w:rsidRPr="00AB48BD">
        <w:rPr>
          <w:rFonts w:eastAsia="Symbol" w:cs="Symbol"/>
          <w:spacing w:val="-2"/>
          <w:lang w:val="en-GB"/>
        </w:rPr>
        <w:t>10</w:t>
      </w:r>
      <w:r w:rsidR="00A955F4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B36F6A" w:rsidRPr="00B36F6A">
        <w:rPr>
          <w:rFonts w:eastAsia="Symbol" w:cs="Symbol"/>
          <w:spacing w:val="-2"/>
          <w:lang w:val="en-GB"/>
        </w:rPr>
        <w:t xml:space="preserve"> </w:t>
      </w:r>
      <w:r w:rsidR="00B36F6A">
        <w:rPr>
          <w:rFonts w:eastAsia="Symbol" w:cs="Symbol"/>
          <w:spacing w:val="-2"/>
          <w:lang w:val="en-GB"/>
        </w:rPr>
        <w:t>exp[-(5000/R)(1/T – 1/298)]</w:t>
      </w:r>
      <w:r w:rsidR="00A955F4" w:rsidRPr="00B36F6A">
        <w:rPr>
          <w:rFonts w:eastAsia="Symbol" w:cs="Symbol"/>
          <w:spacing w:val="-2"/>
          <w:lang w:val="en-GB"/>
        </w:rPr>
        <w:t> </w:t>
      </w:r>
      <w:r w:rsidR="00A955F4" w:rsidRPr="00AB48BD">
        <w:rPr>
          <w:rFonts w:eastAsia="Symbol" w:cs="Symbol"/>
          <w:spacing w:val="-2"/>
          <w:lang w:val="en-GB"/>
        </w:rPr>
        <w:t>M</w:t>
      </w:r>
      <w:r w:rsidR="00A955F4">
        <w:rPr>
          <w:rFonts w:eastAsia="Symbol" w:cs="Symbol"/>
          <w:spacing w:val="-2"/>
          <w:vertAlign w:val="superscript"/>
          <w:lang w:val="en-GB"/>
        </w:rPr>
        <w:noBreakHyphen/>
      </w:r>
      <w:r w:rsidR="00A955F4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A955F4">
        <w:rPr>
          <w:rFonts w:eastAsia="Symbol" w:cs="Symbol"/>
          <w:spacing w:val="-2"/>
          <w:vertAlign w:val="superscript"/>
          <w:lang w:val="en-GB"/>
        </w:rPr>
        <w:t> </w:t>
      </w:r>
      <w:r w:rsidR="00A955F4" w:rsidRPr="00AB48BD">
        <w:rPr>
          <w:rFonts w:eastAsia="Symbol" w:cs="Symbol"/>
          <w:spacing w:val="-2"/>
          <w:lang w:val="en-GB"/>
        </w:rPr>
        <w:t>s</w:t>
      </w:r>
      <w:r w:rsidR="00A955F4">
        <w:rPr>
          <w:rFonts w:eastAsia="Symbol" w:cs="Symbol"/>
          <w:spacing w:val="-2"/>
          <w:vertAlign w:val="superscript"/>
          <w:lang w:val="en-GB"/>
        </w:rPr>
        <w:noBreakHyphen/>
      </w:r>
      <w:r w:rsidR="00A955F4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B36F6A" w:rsidRPr="00B36F6A">
        <w:rPr>
          <w:rFonts w:eastAsia="Symbol" w:cs="Symbol"/>
          <w:spacing w:val="-2"/>
          <w:lang w:val="en-GB"/>
        </w:rPr>
        <w:t xml:space="preserve"> </w:t>
      </w:r>
      <w:r w:rsidR="00B36F6A">
        <w:rPr>
          <w:rFonts w:eastAsia="Symbol" w:cs="Symbol"/>
          <w:spacing w:val="-2"/>
          <w:lang w:val="en-GB"/>
        </w:rPr>
        <w:t>(Elliot and Simsons, 1984)</w:t>
      </w:r>
      <w:r w:rsidR="00A955F4" w:rsidRPr="00AB48BD">
        <w:rPr>
          <w:rFonts w:eastAsia="Symbol" w:cs="Symbol"/>
          <w:spacing w:val="-2"/>
          <w:lang w:val="en-GB"/>
        </w:rPr>
        <w:t xml:space="preserve">; </w:t>
      </w:r>
      <w:r w:rsidR="00A955F4">
        <w:rPr>
          <w:rFonts w:eastAsia="Symbol" w:cs="Symbol"/>
          <w:spacing w:val="-2"/>
          <w:lang w:val="en-GB"/>
        </w:rPr>
        <w:t>f</w:t>
      </w:r>
      <w:r w:rsidR="00A955F4" w:rsidRPr="00AB48BD">
        <w:rPr>
          <w:rFonts w:eastAsia="Symbol" w:cs="Symbol"/>
          <w:spacing w:val="-2"/>
          <w:lang w:val="en-GB"/>
        </w:rPr>
        <w:t>or the Fenton-reaction, the initial concentrations of reactants were in the order of 1</w:t>
      </w:r>
      <w:r w:rsidR="00A955F4">
        <w:rPr>
          <w:rFonts w:eastAsia="Symbol" w:cs="Symbol"/>
          <w:spacing w:val="-3"/>
          <w:lang w:val="en-GB"/>
        </w:rPr>
        <w:t> </w:t>
      </w:r>
      <w:r w:rsidR="00A955F4" w:rsidRPr="00AB48BD">
        <w:rPr>
          <w:rFonts w:ascii="Symbol" w:eastAsia="Symbol" w:hAnsi="Symbol" w:cs="Symbol"/>
          <w:spacing w:val="-3"/>
          <w:lang w:val="en-GB"/>
        </w:rPr>
        <w:t></w:t>
      </w:r>
      <w:r w:rsidR="00A955F4">
        <w:rPr>
          <w:rFonts w:eastAsia="Symbol" w:cs="Symbol"/>
          <w:spacing w:val="-2"/>
          <w:lang w:val="en-GB"/>
        </w:rPr>
        <w:t> </w:t>
      </w:r>
      <w:r w:rsidR="00A955F4" w:rsidRPr="00AB48BD">
        <w:rPr>
          <w:rFonts w:eastAsia="Symbol" w:cs="Symbol"/>
          <w:spacing w:val="-2"/>
          <w:lang w:val="en-GB"/>
        </w:rPr>
        <w:t>10</w:t>
      </w:r>
      <w:r w:rsidR="00A955F4" w:rsidRPr="00AB48BD">
        <w:rPr>
          <w:rFonts w:eastAsia="Symbol" w:cs="Symbol"/>
          <w:spacing w:val="-2"/>
          <w:vertAlign w:val="superscript"/>
          <w:lang w:val="en-GB"/>
        </w:rPr>
        <w:t>-3</w:t>
      </w:r>
      <w:r w:rsidR="00A955F4">
        <w:rPr>
          <w:rFonts w:eastAsia="Symbol" w:cs="Symbol"/>
          <w:spacing w:val="-2"/>
          <w:vertAlign w:val="superscript"/>
          <w:lang w:val="en-GB"/>
        </w:rPr>
        <w:t> </w:t>
      </w:r>
      <w:r w:rsidR="00A955F4">
        <w:rPr>
          <w:rFonts w:eastAsia="Symbol" w:cs="Symbol"/>
          <w:spacing w:val="-2"/>
          <w:lang w:val="en-GB"/>
        </w:rPr>
        <w:t>M</w:t>
      </w:r>
      <w:r w:rsidR="00A955F4" w:rsidRPr="00AB48BD">
        <w:rPr>
          <w:rFonts w:eastAsia="Symbol" w:cs="Symbol"/>
          <w:spacing w:val="-2"/>
          <w:lang w:val="en-GB"/>
        </w:rPr>
        <w:t xml:space="preserve">; Arrhenius expression for </w:t>
      </w:r>
      <w:r w:rsidR="004F65E0">
        <w:rPr>
          <w:rFonts w:eastAsia="Symbol" w:cs="Symbol"/>
          <w:lang w:val="en-GB"/>
        </w:rPr>
        <w:t>HO</w:t>
      </w:r>
      <w:r w:rsidR="00A955F4" w:rsidRPr="00AB48BD">
        <w:rPr>
          <w:rFonts w:eastAsia="Symbol" w:cs="Symbol"/>
          <w:spacing w:val="-3"/>
          <w:lang w:val="en-GB"/>
        </w:rPr>
        <w:t xml:space="preserve"> + </w:t>
      </w:r>
      <w:r w:rsidR="00A955F4">
        <w:rPr>
          <w:rFonts w:eastAsia="Symbol" w:cs="Symbol"/>
          <w:spacing w:val="-3"/>
          <w:lang w:val="en-GB"/>
        </w:rPr>
        <w:t>M</w:t>
      </w:r>
      <w:r w:rsidR="00B36F6A">
        <w:rPr>
          <w:rFonts w:eastAsia="Symbol" w:cs="Symbol"/>
          <w:spacing w:val="-3"/>
          <w:lang w:val="en-GB"/>
        </w:rPr>
        <w:t>IB</w:t>
      </w:r>
      <w:r w:rsidR="00A955F4">
        <w:rPr>
          <w:rFonts w:eastAsia="Symbol" w:cs="Symbol"/>
          <w:spacing w:val="-3"/>
          <w:lang w:val="en-GB"/>
        </w:rPr>
        <w:t>K</w:t>
      </w:r>
      <w:r w:rsidR="00A955F4" w:rsidRPr="00AB48BD">
        <w:rPr>
          <w:rFonts w:eastAsia="Symbol" w:cs="Symbol"/>
          <w:spacing w:val="-3"/>
          <w:lang w:val="en-GB"/>
        </w:rPr>
        <w:t xml:space="preserve"> was</w:t>
      </w:r>
      <w:r w:rsidR="00A955F4">
        <w:rPr>
          <w:rFonts w:eastAsia="Symbol" w:cs="Symbol"/>
          <w:spacing w:val="-2"/>
          <w:lang w:val="en-GB"/>
        </w:rPr>
        <w:t xml:space="preserve"> given as: ln </w:t>
      </w:r>
      <w:r w:rsidR="00A955F4" w:rsidRPr="00751C9B">
        <w:rPr>
          <w:rFonts w:eastAsia="Symbol" w:cs="Symbol"/>
          <w:i/>
          <w:spacing w:val="-2"/>
          <w:lang w:val="en-GB"/>
        </w:rPr>
        <w:t>k</w:t>
      </w:r>
      <w:r w:rsidR="00A955F4" w:rsidRPr="00AB48BD">
        <w:rPr>
          <w:rFonts w:eastAsia="Symbol" w:cs="Symbol"/>
          <w:spacing w:val="-2"/>
          <w:lang w:val="en-GB"/>
        </w:rPr>
        <w:t xml:space="preserve">(T) = </w:t>
      </w:r>
      <w:r w:rsidR="00B36F6A">
        <w:rPr>
          <w:rFonts w:eastAsia="Symbol" w:cs="Symbol"/>
          <w:spacing w:val="-2"/>
          <w:lang w:val="en-GB"/>
        </w:rPr>
        <w:t>25.6</w:t>
      </w:r>
      <w:r w:rsidR="00A955F4" w:rsidRPr="00AB48BD">
        <w:rPr>
          <w:rFonts w:eastAsia="Symbol" w:cs="Symbol"/>
          <w:spacing w:val="-2"/>
          <w:lang w:val="en-GB"/>
        </w:rPr>
        <w:t>(</w:t>
      </w:r>
      <w:r w:rsidR="00A955F4" w:rsidRPr="00AB48BD">
        <w:rPr>
          <w:rFonts w:eastAsia="Symbol" w:cs="Symbol"/>
          <w:lang w:val="en-GB"/>
        </w:rPr>
        <w:t>±</w:t>
      </w:r>
      <w:r w:rsidR="00A955F4">
        <w:rPr>
          <w:rFonts w:eastAsia="Symbol" w:cs="Symbol"/>
          <w:lang w:val="en-GB"/>
        </w:rPr>
        <w:t>1.0</w:t>
      </w:r>
      <w:r w:rsidR="00A955F4" w:rsidRPr="00AB48BD">
        <w:rPr>
          <w:rFonts w:eastAsia="Symbol" w:cs="Symbol"/>
          <w:spacing w:val="-2"/>
          <w:lang w:val="en-GB"/>
        </w:rPr>
        <w:t xml:space="preserve">) – </w:t>
      </w:r>
      <w:r w:rsidR="00A955F4">
        <w:rPr>
          <w:rFonts w:eastAsia="Symbol" w:cs="Symbol"/>
          <w:spacing w:val="-2"/>
          <w:lang w:val="en-GB"/>
        </w:rPr>
        <w:t>[1</w:t>
      </w:r>
      <w:r w:rsidR="00B36F6A">
        <w:rPr>
          <w:rFonts w:eastAsia="Symbol" w:cs="Symbol"/>
          <w:spacing w:val="-2"/>
          <w:lang w:val="en-GB"/>
        </w:rPr>
        <w:t>2</w:t>
      </w:r>
      <w:r w:rsidR="00A955F4">
        <w:rPr>
          <w:rFonts w:eastAsia="Symbol" w:cs="Symbol"/>
          <w:spacing w:val="-2"/>
          <w:lang w:val="en-GB"/>
        </w:rPr>
        <w:t>00</w:t>
      </w:r>
      <w:r w:rsidR="00A955F4" w:rsidRPr="00AB48BD">
        <w:rPr>
          <w:rFonts w:eastAsia="Symbol" w:cs="Symbol"/>
          <w:spacing w:val="-2"/>
          <w:lang w:val="en-GB"/>
        </w:rPr>
        <w:t>(</w:t>
      </w:r>
      <w:r w:rsidR="00A955F4" w:rsidRPr="00AB48BD">
        <w:rPr>
          <w:rFonts w:eastAsia="Symbol" w:cs="Symbol"/>
          <w:lang w:val="en-GB"/>
        </w:rPr>
        <w:t>±</w:t>
      </w:r>
      <w:r w:rsidR="00A955F4">
        <w:rPr>
          <w:rFonts w:eastAsia="Symbol" w:cs="Symbol"/>
          <w:lang w:val="en-GB"/>
        </w:rPr>
        <w:t>300</w:t>
      </w:r>
      <w:r w:rsidR="00A955F4" w:rsidRPr="00AB48BD">
        <w:rPr>
          <w:rFonts w:eastAsia="Symbol" w:cs="Symbol"/>
          <w:spacing w:val="-2"/>
          <w:lang w:val="en-GB"/>
        </w:rPr>
        <w:t>)</w:t>
      </w:r>
      <w:r w:rsidR="00A955F4">
        <w:rPr>
          <w:rFonts w:eastAsia="Symbol" w:cs="Symbol"/>
          <w:spacing w:val="-2"/>
          <w:lang w:val="en-GB"/>
        </w:rPr>
        <w:t>]</w:t>
      </w:r>
      <w:r w:rsidR="00A955F4" w:rsidRPr="00AB48BD">
        <w:rPr>
          <w:rFonts w:eastAsia="Symbol" w:cs="Symbol"/>
          <w:spacing w:val="-2"/>
          <w:lang w:val="en-GB"/>
        </w:rPr>
        <w:t>/T</w:t>
      </w:r>
      <w:r w:rsidR="00FA052E">
        <w:rPr>
          <w:rFonts w:eastAsia="Symbol" w:cs="Symbol"/>
          <w:spacing w:val="-2"/>
          <w:lang w:val="en-GB"/>
        </w:rPr>
        <w:t xml:space="preserve">; </w:t>
      </w:r>
      <w:r w:rsidR="00FA052E">
        <w:rPr>
          <w:rFonts w:ascii="Times New Roman" w:hAnsi="Times New Roman" w:cs="Times New Roman"/>
          <w:lang w:val="en-CA" w:eastAsia="en-CA"/>
        </w:rPr>
        <w:t xml:space="preserve">all rate coefficients have been recalculated using the selected T dependence for the reference reaction </w:t>
      </w:r>
      <w:r w:rsidR="00FA052E">
        <w:rPr>
          <w:rFonts w:ascii="Times New Roman" w:hAnsi="Times New Roman" w:cs="Times New Roman"/>
          <w:i/>
          <w:lang w:val="en-CA" w:eastAsia="en-CA"/>
        </w:rPr>
        <w:t>k</w:t>
      </w:r>
      <w:r w:rsidR="00FA052E">
        <w:rPr>
          <w:rFonts w:ascii="Times New Roman" w:hAnsi="Times New Roman" w:cs="Times New Roman"/>
          <w:lang w:val="en-CA" w:eastAsia="en-CA"/>
        </w:rPr>
        <w:t>(T) = 1.17 × 10</w:t>
      </w:r>
      <w:r w:rsidR="00FA052E">
        <w:rPr>
          <w:rFonts w:ascii="Times New Roman" w:hAnsi="Times New Roman" w:cs="Times New Roman"/>
          <w:vertAlign w:val="superscript"/>
          <w:lang w:val="en-CA" w:eastAsia="en-CA"/>
        </w:rPr>
        <w:t>11</w:t>
      </w:r>
      <w:r w:rsidR="00FA052E">
        <w:rPr>
          <w:rFonts w:ascii="Times New Roman" w:hAnsi="Times New Roman" w:cs="Times New Roman"/>
          <w:lang w:val="en-CA" w:eastAsia="en-CA"/>
        </w:rPr>
        <w:t> exp[-(1180 ±200/T)]</w:t>
      </w:r>
      <w:r w:rsidR="00A955F4">
        <w:rPr>
          <w:rFonts w:eastAsia="Symbol" w:cs="Symbol"/>
          <w:spacing w:val="-2"/>
          <w:lang w:val="en-GB"/>
        </w:rPr>
        <w:t>.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7F2089" w:rsidRPr="00922849" w:rsidRDefault="00D12D39" w:rsidP="006513B0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lang w:val="en-CA" w:eastAsia="en-CA"/>
        </w:rPr>
      </w:pPr>
      <w:r w:rsidRPr="00875CB1">
        <w:rPr>
          <w:lang w:val="en-CA"/>
        </w:rPr>
        <w:t>(</w:t>
      </w:r>
      <w:r w:rsidR="00FC186E">
        <w:rPr>
          <w:lang w:val="en-CA"/>
        </w:rPr>
        <w:t>b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922849">
        <w:rPr>
          <w:lang w:val="en-CA"/>
        </w:rPr>
        <w:t>R</w:t>
      </w:r>
      <w:r w:rsidR="006513B0">
        <w:rPr>
          <w:lang w:val="en-CA"/>
        </w:rPr>
        <w:t xml:space="preserve">eference reaction: </w:t>
      </w:r>
      <w:r w:rsidR="004F65E0">
        <w:rPr>
          <w:rFonts w:eastAsia="Symbol" w:cs="Symbol"/>
          <w:lang w:val="en-GB"/>
        </w:rPr>
        <w:t>HO</w:t>
      </w:r>
      <w:r w:rsidR="006513B0">
        <w:rPr>
          <w:rFonts w:eastAsia="Symbol" w:cs="Symbol"/>
          <w:lang w:val="en-GB"/>
        </w:rPr>
        <w:t xml:space="preserve"> + SCN</w:t>
      </w:r>
      <w:r w:rsidR="006513B0">
        <w:rPr>
          <w:rFonts w:eastAsia="Symbol" w:cs="Symbol"/>
          <w:vertAlign w:val="superscript"/>
          <w:lang w:val="en-GB"/>
        </w:rPr>
        <w:t>-</w:t>
      </w:r>
      <w:r w:rsidR="006513B0">
        <w:rPr>
          <w:rFonts w:eastAsia="Symbol" w:cs="Symbol"/>
          <w:lang w:val="en-GB"/>
        </w:rPr>
        <w:t xml:space="preserve">, with ln </w:t>
      </w:r>
      <w:r w:rsidR="006513B0">
        <w:rPr>
          <w:rFonts w:eastAsia="Symbol" w:cs="Symbol"/>
          <w:i/>
          <w:lang w:val="en-GB"/>
        </w:rPr>
        <w:t>k</w:t>
      </w:r>
      <w:r w:rsidR="006513B0">
        <w:rPr>
          <w:rFonts w:eastAsia="Symbol" w:cs="Symbol"/>
          <w:lang w:val="en-GB"/>
        </w:rPr>
        <w:t>(</w:t>
      </w:r>
      <w:r w:rsidR="004F65E0">
        <w:rPr>
          <w:rFonts w:eastAsia="Symbol" w:cs="Symbol"/>
          <w:lang w:val="en-GB"/>
        </w:rPr>
        <w:t>HO</w:t>
      </w:r>
      <w:r w:rsidR="006513B0">
        <w:rPr>
          <w:rFonts w:eastAsia="Symbol" w:cs="Symbol"/>
          <w:lang w:val="en-GB"/>
        </w:rPr>
        <w:t xml:space="preserve"> + SCN</w:t>
      </w:r>
      <w:r w:rsidR="006513B0">
        <w:rPr>
          <w:rFonts w:eastAsia="Symbol" w:cs="Symbol"/>
          <w:vertAlign w:val="superscript"/>
          <w:lang w:val="en-GB"/>
        </w:rPr>
        <w:t>-</w:t>
      </w:r>
      <w:r w:rsidR="006513B0">
        <w:rPr>
          <w:rFonts w:eastAsia="Symbol" w:cs="Symbol"/>
          <w:lang w:val="en-GB"/>
        </w:rPr>
        <w:t xml:space="preserve">) = </w:t>
      </w:r>
      <w:r w:rsidR="006513B0" w:rsidRPr="006513B0">
        <w:rPr>
          <w:rFonts w:ascii="Times New Roman" w:eastAsia="Symbol" w:hAnsi="Times New Roman" w:cs="Times New Roman"/>
          <w:lang w:val="en-GB"/>
        </w:rPr>
        <w:t>(</w:t>
      </w:r>
      <w:r w:rsidR="006513B0" w:rsidRPr="006513B0">
        <w:rPr>
          <w:rFonts w:ascii="Times New Roman" w:hAnsi="Times New Roman" w:cs="Times New Roman"/>
          <w:lang w:val="en-CA" w:eastAsia="en-CA"/>
        </w:rPr>
        <w:t>29.614</w:t>
      </w:r>
      <w:r w:rsidR="006513B0" w:rsidRPr="006513B0">
        <w:rPr>
          <w:rFonts w:ascii="Times New Roman" w:eastAsia="MTSY" w:hAnsi="Times New Roman" w:cs="Times New Roman"/>
          <w:lang w:val="en-CA" w:eastAsia="en-CA"/>
        </w:rPr>
        <w:t>±</w:t>
      </w:r>
      <w:r w:rsidR="006513B0" w:rsidRPr="006513B0">
        <w:rPr>
          <w:rFonts w:ascii="Times New Roman" w:hAnsi="Times New Roman" w:cs="Times New Roman"/>
          <w:lang w:val="en-CA" w:eastAsia="en-CA"/>
        </w:rPr>
        <w:t>0.636)</w:t>
      </w:r>
      <w:r w:rsidR="006513B0">
        <w:rPr>
          <w:rFonts w:ascii="Times New Roman" w:hAnsi="Times New Roman" w:cs="Times New Roman"/>
          <w:lang w:val="en-CA" w:eastAsia="en-CA"/>
        </w:rPr>
        <w:t xml:space="preserve"> </w:t>
      </w:r>
      <w:r w:rsidR="006513B0" w:rsidRPr="006513B0">
        <w:rPr>
          <w:rFonts w:ascii="Times New Roman" w:hAnsi="Times New Roman" w:cs="Times New Roman"/>
          <w:lang w:val="en-CA" w:eastAsia="en-CA"/>
        </w:rPr>
        <w:t>–</w:t>
      </w:r>
      <w:r w:rsidR="006513B0">
        <w:rPr>
          <w:rFonts w:ascii="Times New Roman" w:hAnsi="Times New Roman" w:cs="Times New Roman"/>
          <w:lang w:val="en-CA" w:eastAsia="en-CA"/>
        </w:rPr>
        <w:t xml:space="preserve"> </w:t>
      </w:r>
      <w:r w:rsidR="006513B0" w:rsidRPr="006513B0">
        <w:rPr>
          <w:rFonts w:ascii="Times New Roman" w:hAnsi="Times New Roman" w:cs="Times New Roman"/>
          <w:lang w:val="en-CA" w:eastAsia="en-CA"/>
        </w:rPr>
        <w:t>(1900</w:t>
      </w:r>
      <w:r w:rsidR="006513B0" w:rsidRPr="006513B0">
        <w:rPr>
          <w:rFonts w:ascii="Times New Roman" w:eastAsia="MTSY" w:hAnsi="Times New Roman" w:cs="Times New Roman"/>
          <w:lang w:val="en-CA" w:eastAsia="en-CA"/>
        </w:rPr>
        <w:t>±</w:t>
      </w:r>
      <w:r w:rsidR="006513B0" w:rsidRPr="006513B0">
        <w:rPr>
          <w:rFonts w:ascii="Times New Roman" w:hAnsi="Times New Roman" w:cs="Times New Roman"/>
          <w:lang w:val="en-CA" w:eastAsia="en-CA"/>
        </w:rPr>
        <w:t>190)/</w:t>
      </w:r>
      <w:r w:rsidR="006513B0" w:rsidRPr="00CE5C58">
        <w:rPr>
          <w:rFonts w:ascii="Times New Roman" w:hAnsi="Times New Roman" w:cs="Times New Roman"/>
          <w:iCs/>
          <w:lang w:val="en-CA" w:eastAsia="en-CA"/>
        </w:rPr>
        <w:t>T</w:t>
      </w:r>
      <w:r w:rsidR="006513B0">
        <w:rPr>
          <w:rFonts w:ascii="Times New Roman" w:hAnsi="Times New Roman" w:cs="Times New Roman"/>
          <w:i/>
          <w:iCs/>
          <w:lang w:val="en-CA" w:eastAsia="en-CA"/>
        </w:rPr>
        <w:t> </w:t>
      </w:r>
      <w:r w:rsidR="006513B0" w:rsidRPr="006513B0">
        <w:rPr>
          <w:rFonts w:ascii="Times New Roman" w:hAnsi="Times New Roman" w:cs="Times New Roman"/>
          <w:lang w:val="en-CA" w:eastAsia="en-CA"/>
        </w:rPr>
        <w:t>M</w:t>
      </w:r>
      <w:r w:rsidR="006513B0">
        <w:rPr>
          <w:rFonts w:ascii="Times New Roman" w:eastAsia="MTSY" w:hAnsi="Times New Roman" w:cs="Times New Roman"/>
          <w:vertAlign w:val="superscript"/>
          <w:lang w:val="en-CA" w:eastAsia="en-CA"/>
        </w:rPr>
        <w:noBreakHyphen/>
      </w:r>
      <w:r w:rsidR="006513B0" w:rsidRPr="006513B0">
        <w:rPr>
          <w:rFonts w:ascii="Times New Roman" w:hAnsi="Times New Roman" w:cs="Times New Roman"/>
          <w:vertAlign w:val="superscript"/>
          <w:lang w:val="en-CA" w:eastAsia="en-CA"/>
        </w:rPr>
        <w:t>1</w:t>
      </w:r>
      <w:r w:rsidR="006513B0">
        <w:rPr>
          <w:rFonts w:ascii="Times New Roman" w:hAnsi="Times New Roman" w:cs="Times New Roman"/>
          <w:lang w:val="en-CA" w:eastAsia="en-CA"/>
        </w:rPr>
        <w:t> </w:t>
      </w:r>
      <w:r w:rsidR="006513B0" w:rsidRPr="006513B0">
        <w:rPr>
          <w:rFonts w:ascii="Times New Roman" w:hAnsi="Times New Roman" w:cs="Times New Roman"/>
          <w:lang w:val="en-CA" w:eastAsia="en-CA"/>
        </w:rPr>
        <w:t>s</w:t>
      </w:r>
      <w:r w:rsidR="006513B0">
        <w:rPr>
          <w:rFonts w:ascii="Times New Roman" w:eastAsia="MTSY" w:hAnsi="Times New Roman" w:cs="Times New Roman"/>
          <w:vertAlign w:val="superscript"/>
          <w:lang w:val="en-CA" w:eastAsia="en-CA"/>
        </w:rPr>
        <w:noBreakHyphen/>
      </w:r>
      <w:r w:rsidR="006513B0" w:rsidRPr="006513B0">
        <w:rPr>
          <w:rFonts w:ascii="Times New Roman" w:hAnsi="Times New Roman" w:cs="Times New Roman"/>
          <w:vertAlign w:val="superscript"/>
          <w:lang w:val="en-CA" w:eastAsia="en-CA"/>
        </w:rPr>
        <w:t>1</w:t>
      </w:r>
      <w:r w:rsidR="006513B0">
        <w:rPr>
          <w:rFonts w:ascii="Times New Roman" w:hAnsi="Times New Roman" w:cs="Times New Roman"/>
          <w:lang w:val="en-CA" w:eastAsia="en-CA"/>
        </w:rPr>
        <w:t xml:space="preserve"> (Chin and Wine, 1992)</w:t>
      </w:r>
      <w:r w:rsidR="00922849">
        <w:rPr>
          <w:rFonts w:ascii="Times New Roman" w:hAnsi="Times New Roman" w:cs="Times New Roman"/>
          <w:lang w:val="en-CA" w:eastAsia="en-CA"/>
        </w:rPr>
        <w:t xml:space="preserve">; </w:t>
      </w:r>
      <w:r w:rsidR="00595379">
        <w:rPr>
          <w:rFonts w:ascii="Times New Roman" w:hAnsi="Times New Roman" w:cs="Times New Roman"/>
          <w:lang w:val="en-CA" w:eastAsia="en-CA"/>
        </w:rPr>
        <w:t xml:space="preserve">for the Arrhenius expression (b1), the </w:t>
      </w:r>
      <w:r w:rsidR="00922849">
        <w:rPr>
          <w:rFonts w:ascii="Times New Roman" w:hAnsi="Times New Roman" w:cs="Times New Roman"/>
          <w:lang w:val="en-CA" w:eastAsia="en-CA"/>
        </w:rPr>
        <w:t xml:space="preserve">T-dependent rate constants were </w:t>
      </w:r>
      <w:r w:rsidR="00CE5C58">
        <w:rPr>
          <w:rFonts w:ascii="Times New Roman" w:hAnsi="Times New Roman" w:cs="Times New Roman"/>
          <w:lang w:val="en-CA" w:eastAsia="en-CA"/>
        </w:rPr>
        <w:t>taken from the plotted data, as no specific values were given</w:t>
      </w:r>
      <w:r w:rsidR="00595379">
        <w:rPr>
          <w:rFonts w:ascii="Times New Roman" w:hAnsi="Times New Roman" w:cs="Times New Roman"/>
          <w:lang w:val="en-CA" w:eastAsia="en-CA"/>
        </w:rPr>
        <w:t xml:space="preserve">; all rate coefficients </w:t>
      </w:r>
      <w:r w:rsidR="00FA052E">
        <w:rPr>
          <w:rFonts w:ascii="Times New Roman" w:hAnsi="Times New Roman" w:cs="Times New Roman"/>
          <w:lang w:val="en-CA" w:eastAsia="en-CA"/>
        </w:rPr>
        <w:t>have been recalculated using the selected T dependence for the reference reaction by Zhu et al., 2003</w:t>
      </w:r>
      <w:r w:rsidR="00922849">
        <w:rPr>
          <w:rFonts w:ascii="Times New Roman" w:hAnsi="Times New Roman" w:cs="Times New Roman"/>
          <w:lang w:val="en-CA" w:eastAsia="en-CA"/>
        </w:rPr>
        <w:t>.</w:t>
      </w:r>
    </w:p>
    <w:p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CE5C58" w:rsidTr="00604D2C">
        <w:tc>
          <w:tcPr>
            <w:tcW w:w="2059" w:type="dxa"/>
          </w:tcPr>
          <w:p w:rsidR="007F4C67" w:rsidRPr="00CE5C58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CE5C58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CE5C5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CE5C5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CE5C58" w:rsidRDefault="0018536D" w:rsidP="00CE5C5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4.</w:t>
            </w:r>
            <w:r w:rsidR="00C3796D">
              <w:rPr>
                <w:rFonts w:ascii="Times New Roman" w:hAnsi="Times New Roman" w:cs="Times New Roman"/>
                <w:color w:val="000000"/>
                <w:lang w:val="en-US" w:eastAsia="de-DE"/>
              </w:rPr>
              <w:t>39</w:t>
            </w:r>
            <w:r w:rsid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 w:rsidR="00CE5C58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CE5C58" w:rsidRDefault="00CE5C5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CE5C58" w:rsidRPr="00CE5C58" w:rsidTr="00463138">
        <w:tc>
          <w:tcPr>
            <w:tcW w:w="2059" w:type="dxa"/>
          </w:tcPr>
          <w:p w:rsidR="00CE5C58" w:rsidRPr="00CE5C58" w:rsidRDefault="00CE5C58" w:rsidP="0046313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CE5C58" w:rsidRPr="00CE5C58" w:rsidRDefault="00CE5C58" w:rsidP="00CE5C5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CE5C58" w:rsidRPr="00CE5C58" w:rsidRDefault="00CE5C58" w:rsidP="0046313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  <w:tr w:rsidR="00CE5C58" w:rsidRPr="00CE5C58" w:rsidTr="00463138">
        <w:tc>
          <w:tcPr>
            <w:tcW w:w="2059" w:type="dxa"/>
          </w:tcPr>
          <w:p w:rsidR="00CE5C58" w:rsidRPr="00CE5C58" w:rsidRDefault="00CE5C58" w:rsidP="0046313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CE5C58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CE5C5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CE5C5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CE5C58" w:rsidRPr="00CE5C58" w:rsidRDefault="00C3796D" w:rsidP="0018536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4.05</w:t>
            </w:r>
            <w:r w:rsid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>exp[-(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1300</w:t>
            </w:r>
            <w:r w:rsid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:rsidR="00CE5C58" w:rsidRPr="00CE5C58" w:rsidRDefault="00CE5C58" w:rsidP="0046313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276 - 339</w:t>
            </w:r>
          </w:p>
        </w:tc>
      </w:tr>
      <w:tr w:rsidR="0027580C" w:rsidRPr="00CE5C58" w:rsidTr="00604D2C">
        <w:tc>
          <w:tcPr>
            <w:tcW w:w="2059" w:type="dxa"/>
          </w:tcPr>
          <w:p w:rsidR="0027580C" w:rsidRPr="00CE5C5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CE5C5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CE5C5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CE5C5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CE5C5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CE5C58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CE5C5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CE5C5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CE5C58" w:rsidP="0018536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C3796D">
              <w:rPr>
                <w:rFonts w:ascii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CE5C5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CE5C5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E5C58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CE5C58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CE5C58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CE5C58" w:rsidP="0018536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C3796D">
              <w:rPr>
                <w:rFonts w:ascii="Times New Roman" w:hAnsi="Times New Roman" w:cs="Times New Roman"/>
                <w:color w:val="000000"/>
                <w:lang w:val="en-US" w:eastAsia="de-DE"/>
              </w:rPr>
              <w:t>350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E5C58" w:rsidRDefault="00CE5C58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276 - 339</w:t>
            </w:r>
          </w:p>
        </w:tc>
      </w:tr>
      <w:tr w:rsidR="002B69B0" w:rsidRPr="00CE5C5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CE5C58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CE5C58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CE5C58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0C0B34" w:rsidRPr="00C3796D" w:rsidRDefault="00BF7FCB" w:rsidP="000C0B3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rFonts w:ascii="Times New Roman" w:eastAsia="Symbol" w:hAnsi="Times New Roman" w:cs="Times New Roman"/>
          <w:color w:val="000000"/>
          <w:lang w:val="en-GB" w:eastAsia="de-DE"/>
        </w:rPr>
      </w:pPr>
      <w:r>
        <w:rPr>
          <w:rFonts w:ascii="Times New Roman" w:eastAsia="Symbol" w:hAnsi="Times New Roman" w:cs="Times New Roman"/>
          <w:color w:val="000000"/>
          <w:lang w:val="en-GB" w:eastAsia="de-DE"/>
        </w:rPr>
        <w:t>The</w:t>
      </w:r>
      <w:r w:rsidR="006768B8">
        <w:rPr>
          <w:rFonts w:ascii="Times New Roman" w:eastAsia="Symbol" w:hAnsi="Times New Roman" w:cs="Times New Roman"/>
          <w:color w:val="000000"/>
          <w:lang w:val="en-GB" w:eastAsia="de-DE"/>
        </w:rPr>
        <w:t>re are two temperature dependent determinations available for the reaction of MIBK with HO</w:t>
      </w:r>
      <w:r w:rsidR="000C0B34"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from Monod et al. (2005) and</w:t>
      </w:r>
      <w:r w:rsidR="000C0B34">
        <w:rPr>
          <w:rFonts w:ascii="Times New Roman" w:eastAsia="Symbol" w:hAnsi="Times New Roman" w:cs="Times New Roman"/>
          <w:color w:val="000000"/>
          <w:lang w:val="en-GB" w:eastAsia="de-DE"/>
        </w:rPr>
        <w:t xml:space="preserve"> Gligorovski et al. (2009)</w:t>
      </w:r>
      <w:r w:rsidR="006768B8">
        <w:rPr>
          <w:rFonts w:ascii="Times New Roman" w:eastAsia="Symbol" w:hAnsi="Times New Roman" w:cs="Times New Roman"/>
          <w:color w:val="000000"/>
          <w:lang w:val="en-GB" w:eastAsia="de-DE"/>
        </w:rPr>
        <w:t>. Both</w:t>
      </w:r>
      <w:r w:rsidR="000C0B34">
        <w:rPr>
          <w:rFonts w:ascii="Times New Roman" w:eastAsia="Symbol" w:hAnsi="Times New Roman" w:cs="Times New Roman"/>
          <w:color w:val="000000"/>
          <w:lang w:val="en-GB" w:eastAsia="de-DE"/>
        </w:rPr>
        <w:t xml:space="preserve"> have been used for regression to obtain the preferred values</w:t>
      </w:r>
      <w:r w:rsidR="000C0B34" w:rsidRPr="00AB48BD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  <w:r w:rsidR="006768B8">
        <w:rPr>
          <w:rFonts w:ascii="Times New Roman" w:eastAsia="Symbol" w:hAnsi="Times New Roman" w:cs="Times New Roman"/>
          <w:color w:val="000000"/>
          <w:lang w:val="en-GB" w:eastAsia="de-DE"/>
        </w:rPr>
        <w:t xml:space="preserve"> While the determination of Gligorovski et al. (2009) indicates a slightly higher room temperature rate coefficient, the mean of both data sets results in an Arrhenius expression, that correlates with both their data within error limits. </w:t>
      </w:r>
      <w:r w:rsidR="00C3796D">
        <w:rPr>
          <w:rFonts w:ascii="Times New Roman" w:eastAsia="Symbol" w:hAnsi="Times New Roman" w:cs="Times New Roman"/>
          <w:color w:val="000000"/>
          <w:lang w:val="en-GB" w:eastAsia="de-DE"/>
        </w:rPr>
        <w:t xml:space="preserve">The estimated uncertainty is given as </w:t>
      </w:r>
      <w:r w:rsidR="00C3796D" w:rsidRPr="00CE5C58">
        <w:rPr>
          <w:rFonts w:ascii="Times New Roman" w:hAnsi="Times New Roman" w:cs="Times New Roman"/>
          <w:color w:val="000000"/>
          <w:lang w:val="de-DE" w:eastAsia="de-DE"/>
        </w:rPr>
        <w:t>Δ</w:t>
      </w:r>
      <w:r w:rsidR="00C3796D" w:rsidRPr="00CE5C58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C3796D" w:rsidRPr="00CE5C58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C3796D">
        <w:rPr>
          <w:rFonts w:ascii="Times New Roman" w:hAnsi="Times New Roman" w:cs="Times New Roman"/>
          <w:color w:val="000000"/>
          <w:lang w:val="en-US" w:eastAsia="de-DE"/>
        </w:rPr>
        <w:t> = ±0.24 or ±50%.</w:t>
      </w:r>
    </w:p>
    <w:p w:rsidR="000C0B34" w:rsidRDefault="000C0B34" w:rsidP="000C0B3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rFonts w:ascii="Times New Roman" w:eastAsia="Symbol" w:hAnsi="Times New Roman" w:cs="Times New Roman"/>
          <w:color w:val="000000"/>
          <w:lang w:val="en-GB" w:eastAsia="de-DE"/>
        </w:rPr>
      </w:pPr>
    </w:p>
    <w:p w:rsidR="00E04301" w:rsidRPr="00404CD3" w:rsidRDefault="00E04301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922849" w:rsidRDefault="006A0BA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>
        <w:rPr>
          <w:spacing w:val="-3"/>
          <w:lang w:val="en-US"/>
        </w:rPr>
        <w:t>Chin, M.</w:t>
      </w:r>
      <w:r w:rsidR="00B35639" w:rsidRPr="00B35639">
        <w:rPr>
          <w:spacing w:val="-3"/>
          <w:lang w:val="en-US"/>
        </w:rPr>
        <w:t xml:space="preserve"> and Wine, P. H: J. Photochem. Photobiol., A, 69(1), 17-25, 1992.</w:t>
      </w:r>
    </w:p>
    <w:p w:rsidR="00922849" w:rsidRDefault="0092284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922849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B35639">
        <w:rPr>
          <w:spacing w:val="-3"/>
          <w:lang w:val="en-US"/>
        </w:rPr>
        <w:t>Elliot, A. J. and Simsons, A. S.: Radiat. Phys. Chem. (1977), 24(2), 229-231, 1984.</w:t>
      </w:r>
    </w:p>
    <w:p w:rsidR="00B35639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F32250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B35639">
        <w:rPr>
          <w:spacing w:val="-3"/>
          <w:lang w:val="en-US"/>
        </w:rPr>
        <w:t>Gligorovski, S., Rousse, D., George, C. H. and Herrmann, H.: Int. J. Chem. Kinet., 41(5), 309-326, 2009.</w:t>
      </w:r>
    </w:p>
    <w:p w:rsidR="00B35639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07057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B35639">
        <w:rPr>
          <w:spacing w:val="-3"/>
          <w:lang w:val="en-US"/>
        </w:rPr>
        <w:t>Monod, A., Poulain, L., Grubert, S., Voisin, D. and Wortham, H.: Atmos. Env., 39(40), 7667-7688, 2005.</w:t>
      </w:r>
    </w:p>
    <w:p w:rsidR="00B35639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E49DC" w:rsidRDefault="00B35639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B35639">
        <w:rPr>
          <w:spacing w:val="-3"/>
          <w:lang w:val="en-US"/>
        </w:rPr>
        <w:t>Raventos-Duran, T., Camredon, M., Valorso, R., Mouchel-Vallon, C. and Aumont, B.: Atmos. Chem. Phys., 10(16), 7643-7654, 2010.</w:t>
      </w:r>
    </w:p>
    <w:p w:rsidR="00A07057" w:rsidRDefault="00A07057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FA052E" w:rsidRPr="00FA052E" w:rsidRDefault="00FA052E" w:rsidP="00FA052E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FA052E">
        <w:rPr>
          <w:rFonts w:ascii="Times New Roman" w:hAnsi="Times New Roman" w:cs="Times New Roman"/>
          <w:color w:val="000000"/>
          <w:lang w:val="en-US"/>
        </w:rPr>
        <w:t>Zhu, L., Nicovich, J. M. and Wine, P. H.: Aquat. Sci., 65(4), 425-435, 2003.</w:t>
      </w:r>
    </w:p>
    <w:p w:rsidR="000A0815" w:rsidRDefault="000A0815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A0815" w:rsidRDefault="000A0815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07057" w:rsidRDefault="00D7541D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>
        <w:rPr>
          <w:noProof/>
          <w:spacing w:val="-3"/>
          <w:lang w:val="en-US"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MIBK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K+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697">
        <w:rPr>
          <w:spacing w:val="-3"/>
          <w:lang w:val="en-US"/>
        </w:rPr>
        <w:t xml:space="preserve"> </w:t>
      </w:r>
    </w:p>
    <w:p w:rsidR="001F6431" w:rsidRPr="00AB48BD" w:rsidRDefault="001F6431" w:rsidP="001F64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constants for the reaction of 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4-methylpentan-2-one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with </w:t>
      </w:r>
      <w:r w:rsidR="004F65E0">
        <w:rPr>
          <w:rFonts w:ascii="Times New Roman" w:eastAsia="Symbol" w:hAnsi="Times New Roman" w:cs="Times New Roman"/>
          <w:color w:val="000000"/>
          <w:lang w:val="en-GB" w:eastAsia="de-DE"/>
        </w:rPr>
        <w:t>HO</w:t>
      </w:r>
      <w:r w:rsidR="00E04301">
        <w:rPr>
          <w:rFonts w:ascii="Times New Roman" w:eastAsia="Symbol" w:hAnsi="Times New Roman" w:cs="Times New Roman"/>
          <w:color w:val="000000"/>
          <w:lang w:val="en-GB" w:eastAsia="de-DE"/>
        </w:rPr>
        <w:t xml:space="preserve"> radicals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</w:t>
      </w:r>
      <w:r w:rsidR="006768B8">
        <w:rPr>
          <w:rFonts w:ascii="Times New Roman" w:eastAsia="Symbol" w:hAnsi="Times New Roman" w:cs="Times New Roman"/>
          <w:color w:val="000000"/>
          <w:lang w:val="en-GB" w:eastAsia="de-DE"/>
        </w:rPr>
        <w:t>All data given in the plot ha</w:t>
      </w:r>
      <w:r w:rsidR="002846C4">
        <w:rPr>
          <w:rFonts w:ascii="Times New Roman" w:eastAsia="Symbol" w:hAnsi="Times New Roman" w:cs="Times New Roman"/>
          <w:color w:val="000000"/>
          <w:lang w:val="en-GB" w:eastAsia="de-DE"/>
        </w:rPr>
        <w:t>ve</w:t>
      </w:r>
      <w:r w:rsidR="006768B8">
        <w:rPr>
          <w:rFonts w:ascii="Times New Roman" w:eastAsia="Symbol" w:hAnsi="Times New Roman" w:cs="Times New Roman"/>
          <w:color w:val="000000"/>
          <w:lang w:val="en-GB" w:eastAsia="de-DE"/>
        </w:rPr>
        <w:t xml:space="preserve"> been used for regression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p w:rsidR="001F6431" w:rsidRDefault="001F6431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sectPr w:rsidR="001F6431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6648C"/>
    <w:rsid w:val="000702C3"/>
    <w:rsid w:val="00077A3A"/>
    <w:rsid w:val="00081DF2"/>
    <w:rsid w:val="000857CF"/>
    <w:rsid w:val="00090C16"/>
    <w:rsid w:val="000921DC"/>
    <w:rsid w:val="00097533"/>
    <w:rsid w:val="000977C2"/>
    <w:rsid w:val="000A0815"/>
    <w:rsid w:val="000A162B"/>
    <w:rsid w:val="000A2FAF"/>
    <w:rsid w:val="000A50BC"/>
    <w:rsid w:val="000A71A1"/>
    <w:rsid w:val="000C0B34"/>
    <w:rsid w:val="000C3CAA"/>
    <w:rsid w:val="000C7F9F"/>
    <w:rsid w:val="000D16E7"/>
    <w:rsid w:val="000D37DF"/>
    <w:rsid w:val="000D65CF"/>
    <w:rsid w:val="000D78B2"/>
    <w:rsid w:val="000E03DB"/>
    <w:rsid w:val="000E3FE8"/>
    <w:rsid w:val="000E49DC"/>
    <w:rsid w:val="000F1B04"/>
    <w:rsid w:val="00101645"/>
    <w:rsid w:val="00106A74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8157C"/>
    <w:rsid w:val="0018490C"/>
    <w:rsid w:val="0018536D"/>
    <w:rsid w:val="00192FCA"/>
    <w:rsid w:val="00195B6D"/>
    <w:rsid w:val="00197003"/>
    <w:rsid w:val="001977C2"/>
    <w:rsid w:val="001A043E"/>
    <w:rsid w:val="001A1912"/>
    <w:rsid w:val="001A47C8"/>
    <w:rsid w:val="001B27BC"/>
    <w:rsid w:val="001D6CBA"/>
    <w:rsid w:val="001E1C70"/>
    <w:rsid w:val="001E4685"/>
    <w:rsid w:val="001F4EB5"/>
    <w:rsid w:val="001F6431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325D6"/>
    <w:rsid w:val="00263497"/>
    <w:rsid w:val="00266D30"/>
    <w:rsid w:val="0027580C"/>
    <w:rsid w:val="002837BB"/>
    <w:rsid w:val="00284087"/>
    <w:rsid w:val="002846C4"/>
    <w:rsid w:val="002862D6"/>
    <w:rsid w:val="002952DE"/>
    <w:rsid w:val="002979B8"/>
    <w:rsid w:val="002A1F8D"/>
    <w:rsid w:val="002A4717"/>
    <w:rsid w:val="002A6458"/>
    <w:rsid w:val="002A6ABB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2722"/>
    <w:rsid w:val="00303330"/>
    <w:rsid w:val="00304CDC"/>
    <w:rsid w:val="003067AB"/>
    <w:rsid w:val="00325D6F"/>
    <w:rsid w:val="003263B4"/>
    <w:rsid w:val="00336897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E4740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16E8A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63138"/>
    <w:rsid w:val="00484C52"/>
    <w:rsid w:val="00486CBB"/>
    <w:rsid w:val="004A407F"/>
    <w:rsid w:val="004A7BA6"/>
    <w:rsid w:val="004B3308"/>
    <w:rsid w:val="004C3213"/>
    <w:rsid w:val="004C4D3E"/>
    <w:rsid w:val="004C6446"/>
    <w:rsid w:val="004E7108"/>
    <w:rsid w:val="004F0504"/>
    <w:rsid w:val="004F65E0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34EBE"/>
    <w:rsid w:val="00541F5E"/>
    <w:rsid w:val="005424C6"/>
    <w:rsid w:val="00560013"/>
    <w:rsid w:val="00565A6E"/>
    <w:rsid w:val="00571A09"/>
    <w:rsid w:val="0057662D"/>
    <w:rsid w:val="00595379"/>
    <w:rsid w:val="00595477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066B"/>
    <w:rsid w:val="00636A12"/>
    <w:rsid w:val="0063704E"/>
    <w:rsid w:val="006513B0"/>
    <w:rsid w:val="00652F32"/>
    <w:rsid w:val="00654098"/>
    <w:rsid w:val="0065783D"/>
    <w:rsid w:val="00663250"/>
    <w:rsid w:val="00670889"/>
    <w:rsid w:val="00675054"/>
    <w:rsid w:val="006768B8"/>
    <w:rsid w:val="00692339"/>
    <w:rsid w:val="006A0BAC"/>
    <w:rsid w:val="006A1A56"/>
    <w:rsid w:val="006A2320"/>
    <w:rsid w:val="006A661D"/>
    <w:rsid w:val="006A6692"/>
    <w:rsid w:val="006B1C76"/>
    <w:rsid w:val="006B2DDA"/>
    <w:rsid w:val="006B5378"/>
    <w:rsid w:val="006C647D"/>
    <w:rsid w:val="006D2807"/>
    <w:rsid w:val="006D5DBD"/>
    <w:rsid w:val="006D6759"/>
    <w:rsid w:val="006E0E6F"/>
    <w:rsid w:val="006E1881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378B5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2F67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7796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13834"/>
    <w:rsid w:val="00921793"/>
    <w:rsid w:val="00922849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0479D"/>
    <w:rsid w:val="00A07057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084A"/>
    <w:rsid w:val="00A528B3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955F4"/>
    <w:rsid w:val="00AB3143"/>
    <w:rsid w:val="00AD0E6A"/>
    <w:rsid w:val="00AD4544"/>
    <w:rsid w:val="00AF0697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35639"/>
    <w:rsid w:val="00B36F6A"/>
    <w:rsid w:val="00B52179"/>
    <w:rsid w:val="00B525A0"/>
    <w:rsid w:val="00B61525"/>
    <w:rsid w:val="00B7167B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E78BD"/>
    <w:rsid w:val="00BF2B4D"/>
    <w:rsid w:val="00BF7FCB"/>
    <w:rsid w:val="00C00643"/>
    <w:rsid w:val="00C013BC"/>
    <w:rsid w:val="00C10304"/>
    <w:rsid w:val="00C11A68"/>
    <w:rsid w:val="00C17A31"/>
    <w:rsid w:val="00C22890"/>
    <w:rsid w:val="00C25093"/>
    <w:rsid w:val="00C3796D"/>
    <w:rsid w:val="00C568C5"/>
    <w:rsid w:val="00C57B22"/>
    <w:rsid w:val="00C60D61"/>
    <w:rsid w:val="00C648E1"/>
    <w:rsid w:val="00C67934"/>
    <w:rsid w:val="00C70E23"/>
    <w:rsid w:val="00C716CC"/>
    <w:rsid w:val="00C71F62"/>
    <w:rsid w:val="00C72D3C"/>
    <w:rsid w:val="00C75688"/>
    <w:rsid w:val="00C90E43"/>
    <w:rsid w:val="00C94795"/>
    <w:rsid w:val="00C94ED5"/>
    <w:rsid w:val="00CB0B81"/>
    <w:rsid w:val="00CD1F98"/>
    <w:rsid w:val="00CD27A8"/>
    <w:rsid w:val="00CE2122"/>
    <w:rsid w:val="00CE24B0"/>
    <w:rsid w:val="00CE5C58"/>
    <w:rsid w:val="00CF2E1E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471E4"/>
    <w:rsid w:val="00D54A80"/>
    <w:rsid w:val="00D557B7"/>
    <w:rsid w:val="00D57222"/>
    <w:rsid w:val="00D57669"/>
    <w:rsid w:val="00D73025"/>
    <w:rsid w:val="00D7541D"/>
    <w:rsid w:val="00D76D1B"/>
    <w:rsid w:val="00D77C1D"/>
    <w:rsid w:val="00D91F7F"/>
    <w:rsid w:val="00D93016"/>
    <w:rsid w:val="00D96A50"/>
    <w:rsid w:val="00DB2748"/>
    <w:rsid w:val="00DB53BB"/>
    <w:rsid w:val="00DB6F16"/>
    <w:rsid w:val="00DD1D44"/>
    <w:rsid w:val="00DD43A3"/>
    <w:rsid w:val="00DD5CB6"/>
    <w:rsid w:val="00DE09D1"/>
    <w:rsid w:val="00DE439D"/>
    <w:rsid w:val="00DF64B2"/>
    <w:rsid w:val="00DF6645"/>
    <w:rsid w:val="00E00EDD"/>
    <w:rsid w:val="00E016CB"/>
    <w:rsid w:val="00E02483"/>
    <w:rsid w:val="00E04301"/>
    <w:rsid w:val="00E16CA4"/>
    <w:rsid w:val="00E204AF"/>
    <w:rsid w:val="00E40753"/>
    <w:rsid w:val="00E50B31"/>
    <w:rsid w:val="00E54FE8"/>
    <w:rsid w:val="00E55CFC"/>
    <w:rsid w:val="00E5686D"/>
    <w:rsid w:val="00E63EE2"/>
    <w:rsid w:val="00E75E9C"/>
    <w:rsid w:val="00E82DB1"/>
    <w:rsid w:val="00E913D0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2250"/>
    <w:rsid w:val="00F35EF2"/>
    <w:rsid w:val="00F51B21"/>
    <w:rsid w:val="00F55117"/>
    <w:rsid w:val="00F62CD4"/>
    <w:rsid w:val="00F64725"/>
    <w:rsid w:val="00F67348"/>
    <w:rsid w:val="00F726F5"/>
    <w:rsid w:val="00F74264"/>
    <w:rsid w:val="00F74858"/>
    <w:rsid w:val="00F856F8"/>
    <w:rsid w:val="00F90411"/>
    <w:rsid w:val="00FA052E"/>
    <w:rsid w:val="00FA0C8D"/>
    <w:rsid w:val="00FA1715"/>
    <w:rsid w:val="00FA41C3"/>
    <w:rsid w:val="00FA5201"/>
    <w:rsid w:val="00FA5651"/>
    <w:rsid w:val="00FB53C1"/>
    <w:rsid w:val="00FB64DA"/>
    <w:rsid w:val="00FB7D4F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04136"/>
  <w15:chartTrackingRefBased/>
  <w15:docId w15:val="{6D786705-7E96-4374-8048-498B35D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1853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8536D"/>
    <w:rPr>
      <w:sz w:val="20"/>
      <w:szCs w:val="20"/>
    </w:rPr>
  </w:style>
  <w:style w:type="character" w:customStyle="1" w:styleId="KommentartextZchn">
    <w:name w:val="Kommentartext Zchn"/>
    <w:link w:val="Kommentartext"/>
    <w:rsid w:val="0018536D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8536D"/>
    <w:rPr>
      <w:b/>
      <w:bCs/>
    </w:rPr>
  </w:style>
  <w:style w:type="character" w:customStyle="1" w:styleId="KommentarthemaZchn">
    <w:name w:val="Kommentarthema Zchn"/>
    <w:link w:val="Kommentarthema"/>
    <w:rsid w:val="0018536D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3860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2018-05-04T09:24:00Z</cp:lastPrinted>
  <dcterms:created xsi:type="dcterms:W3CDTF">2020-01-16T10:01:00Z</dcterms:created>
  <dcterms:modified xsi:type="dcterms:W3CDTF">2020-01-16T10:01:00Z</dcterms:modified>
</cp:coreProperties>
</file>