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Pr="00FE07A8" w:rsidRDefault="00D25403" w:rsidP="00702C8F">
      <w:pPr>
        <w:pStyle w:val="IUPACheadline"/>
        <w:rPr>
          <w:lang w:val="en-US"/>
        </w:rPr>
      </w:pPr>
      <w:r w:rsidRPr="00FE07A8">
        <w:rPr>
          <w:lang w:val="en-US"/>
        </w:rPr>
        <w:t xml:space="preserve">IUPAC </w:t>
      </w:r>
      <w:r w:rsidR="001A1912" w:rsidRPr="00FE07A8">
        <w:rPr>
          <w:bCs/>
          <w:lang w:val="en-US"/>
        </w:rPr>
        <w:t>Task Group on Atmospheric Chemical Kinetic Data Evaluation</w:t>
      </w:r>
    </w:p>
    <w:p w:rsidR="00D25403" w:rsidRPr="00FE07A8" w:rsidRDefault="001A1912" w:rsidP="00702C8F">
      <w:pPr>
        <w:pStyle w:val="IUPACheadline"/>
        <w:rPr>
          <w:lang w:val="en-US"/>
        </w:rPr>
      </w:pPr>
      <w:r w:rsidRPr="00FE07A8">
        <w:rPr>
          <w:lang w:val="en-US"/>
        </w:rPr>
        <w:t xml:space="preserve"> </w:t>
      </w:r>
      <w:r w:rsidR="00D25403" w:rsidRPr="00FE07A8">
        <w:rPr>
          <w:lang w:val="en-US"/>
        </w:rPr>
        <w:t xml:space="preserve">– Data Sheet </w:t>
      </w:r>
      <w:r w:rsidR="006D00DB" w:rsidRPr="00FE07A8">
        <w:rPr>
          <w:lang w:val="en-US"/>
        </w:rPr>
        <w:t>AQ_OH_7</w:t>
      </w:r>
      <w:r w:rsidR="002D6DF0" w:rsidRPr="00FE07A8">
        <w:rPr>
          <w:lang w:val="en-US"/>
        </w:rPr>
        <w:t>1</w:t>
      </w:r>
    </w:p>
    <w:p w:rsidR="007F4C67" w:rsidRPr="00FE07A8" w:rsidRDefault="008A4EE3" w:rsidP="007F4C67">
      <w:pPr>
        <w:pStyle w:val="IUPACtopparagraph"/>
        <w:rPr>
          <w:lang w:val="en-US"/>
        </w:rPr>
      </w:pPr>
      <w:r w:rsidRPr="00FE07A8">
        <w:rPr>
          <w:lang w:val="en-US"/>
        </w:rPr>
        <w:t xml:space="preserve">Datasheets can be downloaded for personal use only and must not be retransmitted or disseminated either electronically or in hardcopy without explicit written permission. </w:t>
      </w:r>
      <w:r w:rsidRPr="00FE07A8">
        <w:rPr>
          <w:lang w:val="en-US"/>
        </w:rPr>
        <w:br/>
      </w:r>
      <w:r w:rsidR="00E55CFC" w:rsidRPr="00FE07A8">
        <w:rPr>
          <w:lang w:val="en-US"/>
        </w:rPr>
        <w:t xml:space="preserve">The citation for this datasheet is: IUPAC Task Group on Atmospheric Chemical Kinetic Data Evaluation, </w:t>
      </w:r>
      <w:hyperlink r:id="rId6" w:history="1">
        <w:r w:rsidR="00E55CFC" w:rsidRPr="00FE07A8">
          <w:rPr>
            <w:rStyle w:val="Hyperlink"/>
            <w:lang w:val="en-US"/>
          </w:rPr>
          <w:t>http://iupac.pole-ethe</w:t>
        </w:r>
        <w:r w:rsidR="00E55CFC" w:rsidRPr="00FE07A8">
          <w:rPr>
            <w:rStyle w:val="Hyperlink"/>
            <w:lang w:val="en-US"/>
          </w:rPr>
          <w:t>r</w:t>
        </w:r>
        <w:r w:rsidR="00E55CFC" w:rsidRPr="00FE07A8">
          <w:rPr>
            <w:rStyle w:val="Hyperlink"/>
            <w:lang w:val="en-US"/>
          </w:rPr>
          <w:t>.fr</w:t>
        </w:r>
      </w:hyperlink>
      <w:r w:rsidR="00E55CFC" w:rsidRPr="00FE07A8">
        <w:rPr>
          <w:lang w:val="en-US"/>
        </w:rPr>
        <w:t>.</w:t>
      </w:r>
    </w:p>
    <w:p w:rsidR="007F4C67" w:rsidRPr="00FE07A8" w:rsidRDefault="00E13A5A" w:rsidP="007F4C67">
      <w:pPr>
        <w:pStyle w:val="IUPACtopparagraph"/>
        <w:rPr>
          <w:lang w:val="en-US"/>
        </w:rPr>
      </w:pPr>
      <w:r>
        <w:rPr>
          <w:lang w:val="en-US"/>
        </w:rPr>
        <w:t xml:space="preserve">This datasheet last evaluated: </w:t>
      </w:r>
      <w:r w:rsidR="00FD6843">
        <w:rPr>
          <w:lang w:val="en-US"/>
        </w:rPr>
        <w:t>June 2019</w:t>
      </w:r>
      <w:r w:rsidR="007F4C67" w:rsidRPr="00FE07A8">
        <w:rPr>
          <w:lang w:val="en-US"/>
        </w:rPr>
        <w:t xml:space="preserve">; last change in preferred values: </w:t>
      </w:r>
      <w:r w:rsidR="00FD6843">
        <w:rPr>
          <w:lang w:val="en-US"/>
        </w:rPr>
        <w:t>June 2019</w:t>
      </w:r>
    </w:p>
    <w:p w:rsidR="00604D2C" w:rsidRPr="00FE07A8" w:rsidRDefault="00604D2C" w:rsidP="00604D2C">
      <w:pPr>
        <w:pStyle w:val="IUPACTitlereaction"/>
        <w:spacing w:before="0" w:after="0"/>
        <w:rPr>
          <w:rFonts w:cs="Times New Roman"/>
          <w:lang w:val="en-US"/>
        </w:rPr>
      </w:pPr>
    </w:p>
    <w:p w:rsidR="002B021B" w:rsidRPr="00FE07A8" w:rsidRDefault="002B021B" w:rsidP="00EF4D85">
      <w:pPr>
        <w:ind w:left="1440" w:firstLine="828"/>
        <w:rPr>
          <w:b/>
          <w:lang w:val="en-US"/>
        </w:rPr>
      </w:pPr>
    </w:p>
    <w:p w:rsidR="00604D2C" w:rsidRDefault="006355DC" w:rsidP="003251D4">
      <w:pPr>
        <w:ind w:left="1418" w:hanging="22"/>
        <w:rPr>
          <w:b/>
          <w:lang w:val="en-US"/>
        </w:rPr>
      </w:pPr>
      <w:r>
        <w:rPr>
          <w:b/>
          <w:lang w:val="en-US"/>
        </w:rPr>
        <w:t>HO</w:t>
      </w:r>
      <w:r w:rsidR="00F726F5" w:rsidRPr="00FE07A8">
        <w:rPr>
          <w:b/>
          <w:lang w:val="en-US"/>
        </w:rPr>
        <w:t>(</w:t>
      </w:r>
      <w:proofErr w:type="spellStart"/>
      <w:r w:rsidR="00F726F5" w:rsidRPr="00FE07A8">
        <w:rPr>
          <w:b/>
          <w:lang w:val="en-US"/>
        </w:rPr>
        <w:t>aq</w:t>
      </w:r>
      <w:proofErr w:type="spellEnd"/>
      <w:r w:rsidR="00F726F5" w:rsidRPr="00FE07A8">
        <w:rPr>
          <w:b/>
          <w:lang w:val="en-US"/>
        </w:rPr>
        <w:t>)</w:t>
      </w:r>
      <w:r w:rsidR="00692339" w:rsidRPr="00FE07A8">
        <w:rPr>
          <w:b/>
          <w:lang w:val="en-US"/>
        </w:rPr>
        <w:t xml:space="preserve"> </w:t>
      </w:r>
      <w:r w:rsidR="00F726F5" w:rsidRPr="00FE07A8">
        <w:rPr>
          <w:b/>
          <w:lang w:val="en-US"/>
        </w:rPr>
        <w:t>+</w:t>
      </w:r>
      <w:r w:rsidR="00692339" w:rsidRPr="00FE07A8">
        <w:rPr>
          <w:b/>
          <w:lang w:val="en-US"/>
        </w:rPr>
        <w:t xml:space="preserve"> </w:t>
      </w:r>
      <w:r w:rsidR="006D00DB" w:rsidRPr="00FE07A8">
        <w:rPr>
          <w:b/>
          <w:lang w:val="en-US"/>
        </w:rPr>
        <w:t>CH</w:t>
      </w:r>
      <w:r w:rsidR="006D00DB" w:rsidRPr="00FE07A8">
        <w:rPr>
          <w:b/>
          <w:vertAlign w:val="subscript"/>
          <w:lang w:val="en-US"/>
        </w:rPr>
        <w:t>2</w:t>
      </w:r>
      <w:r w:rsidR="002D6DF0" w:rsidRPr="00FE07A8">
        <w:rPr>
          <w:b/>
          <w:lang w:val="en-US"/>
        </w:rPr>
        <w:t>CCH</w:t>
      </w:r>
      <w:r w:rsidR="002D6DF0" w:rsidRPr="00FE07A8">
        <w:rPr>
          <w:b/>
          <w:vertAlign w:val="subscript"/>
          <w:lang w:val="en-US"/>
        </w:rPr>
        <w:t>3</w:t>
      </w:r>
      <w:r w:rsidR="006D00DB" w:rsidRPr="00FE07A8">
        <w:rPr>
          <w:b/>
          <w:lang w:val="en-US"/>
        </w:rPr>
        <w:t xml:space="preserve">CHO </w:t>
      </w:r>
      <w:r w:rsidR="006D00DB" w:rsidRPr="00FE07A8">
        <w:rPr>
          <w:b/>
          <w:lang w:val="en-US"/>
        </w:rPr>
        <w:sym w:font="Symbol" w:char="F0AE"/>
      </w:r>
      <w:r w:rsidR="006D00DB" w:rsidRPr="00FE07A8">
        <w:rPr>
          <w:b/>
          <w:lang w:val="en-US"/>
        </w:rPr>
        <w:t xml:space="preserve"> </w:t>
      </w:r>
      <w:r w:rsidR="003251D4">
        <w:rPr>
          <w:b/>
          <w:lang w:val="en-US"/>
        </w:rPr>
        <w:t xml:space="preserve">   </w:t>
      </w:r>
      <w:r w:rsidR="00FF0BC1">
        <w:rPr>
          <w:b/>
          <w:lang w:val="en-US"/>
        </w:rPr>
        <w:t>CH</w:t>
      </w:r>
      <w:r w:rsidR="00FF0BC1" w:rsidRPr="004A0D08">
        <w:rPr>
          <w:b/>
          <w:vertAlign w:val="subscript"/>
          <w:lang w:val="en-US"/>
        </w:rPr>
        <w:t>3</w:t>
      </w:r>
      <w:r w:rsidR="00FF0BC1">
        <w:rPr>
          <w:b/>
          <w:lang w:val="en-US"/>
        </w:rPr>
        <w:t>COCH</w:t>
      </w:r>
      <w:r w:rsidR="00FF0BC1" w:rsidRPr="004A0D08">
        <w:rPr>
          <w:b/>
          <w:vertAlign w:val="subscript"/>
          <w:lang w:val="en-US"/>
        </w:rPr>
        <w:t>2</w:t>
      </w:r>
      <w:r w:rsidR="00FF0BC1">
        <w:rPr>
          <w:b/>
          <w:lang w:val="en-US"/>
        </w:rPr>
        <w:t>OH</w:t>
      </w:r>
      <w:r w:rsidR="002A7BE9">
        <w:rPr>
          <w:b/>
          <w:lang w:val="en-US"/>
        </w:rPr>
        <w:tab/>
      </w:r>
      <w:bookmarkStart w:id="0" w:name="_GoBack"/>
      <w:bookmarkEnd w:id="0"/>
      <w:r w:rsidR="00877C06">
        <w:rPr>
          <w:b/>
          <w:lang w:val="en-US"/>
        </w:rPr>
        <w:tab/>
        <w:t>(16.2%)</w:t>
      </w:r>
    </w:p>
    <w:p w:rsidR="00FE07A8" w:rsidRDefault="00FE07A8" w:rsidP="003251D4">
      <w:pPr>
        <w:ind w:left="1418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3251D4">
        <w:rPr>
          <w:b/>
          <w:lang w:val="en-US"/>
        </w:rPr>
        <w:tab/>
        <w:t xml:space="preserve"> + </w:t>
      </w:r>
      <w:r w:rsidR="00FF0BC1">
        <w:rPr>
          <w:b/>
          <w:lang w:val="en-US"/>
        </w:rPr>
        <w:t>CH</w:t>
      </w:r>
      <w:r w:rsidR="00FF0BC1" w:rsidRPr="004A0D08">
        <w:rPr>
          <w:b/>
          <w:vertAlign w:val="subscript"/>
          <w:lang w:val="en-US"/>
        </w:rPr>
        <w:t>3</w:t>
      </w:r>
      <w:r w:rsidR="00FF0BC1">
        <w:rPr>
          <w:b/>
          <w:lang w:val="en-US"/>
        </w:rPr>
        <w:t>COCHO</w:t>
      </w:r>
      <w:r w:rsidR="00877C06">
        <w:rPr>
          <w:b/>
          <w:lang w:val="en-US"/>
        </w:rPr>
        <w:tab/>
      </w:r>
      <w:r w:rsidR="004A0D08">
        <w:rPr>
          <w:b/>
          <w:lang w:val="en-US"/>
        </w:rPr>
        <w:tab/>
      </w:r>
      <w:r w:rsidR="00877C06">
        <w:rPr>
          <w:b/>
          <w:lang w:val="en-US"/>
        </w:rPr>
        <w:t>(9.9%)</w:t>
      </w:r>
    </w:p>
    <w:p w:rsidR="00FE07A8" w:rsidRDefault="00FE07A8" w:rsidP="003251D4">
      <w:pPr>
        <w:ind w:left="1418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4A0D08">
        <w:rPr>
          <w:b/>
          <w:lang w:val="en-US"/>
        </w:rPr>
        <w:tab/>
      </w:r>
      <w:r w:rsidR="003251D4">
        <w:rPr>
          <w:b/>
          <w:lang w:val="en-US"/>
        </w:rPr>
        <w:tab/>
        <w:t xml:space="preserve"> + </w:t>
      </w:r>
      <w:r w:rsidR="00FF0BC1">
        <w:rPr>
          <w:b/>
          <w:lang w:val="en-US"/>
        </w:rPr>
        <w:t>CHOCH</w:t>
      </w:r>
      <w:r w:rsidR="00FF0BC1" w:rsidRPr="004A0D08">
        <w:rPr>
          <w:b/>
          <w:vertAlign w:val="subscript"/>
          <w:lang w:val="en-US"/>
        </w:rPr>
        <w:t>2</w:t>
      </w:r>
      <w:r w:rsidR="00FF0BC1">
        <w:rPr>
          <w:b/>
          <w:lang w:val="en-US"/>
        </w:rPr>
        <w:t>OH</w:t>
      </w:r>
      <w:r w:rsidR="00877C06">
        <w:rPr>
          <w:b/>
          <w:lang w:val="en-US"/>
        </w:rPr>
        <w:tab/>
      </w:r>
      <w:r w:rsidR="004A0D08">
        <w:rPr>
          <w:b/>
          <w:lang w:val="en-US"/>
        </w:rPr>
        <w:tab/>
      </w:r>
      <w:r w:rsidR="00877C06">
        <w:rPr>
          <w:b/>
          <w:lang w:val="en-US"/>
        </w:rPr>
        <w:t>(5.1%)</w:t>
      </w:r>
    </w:p>
    <w:p w:rsidR="0032415C" w:rsidRDefault="0032415C" w:rsidP="002D6DF0">
      <w:pPr>
        <w:ind w:left="1440" w:firstLine="828"/>
        <w:rPr>
          <w:i/>
          <w:sz w:val="20"/>
          <w:szCs w:val="20"/>
          <w:lang w:val="en-US"/>
        </w:rPr>
      </w:pPr>
    </w:p>
    <w:p w:rsidR="001A00CD" w:rsidRPr="001A00CD" w:rsidRDefault="001A00CD" w:rsidP="004A0D08">
      <w:pPr>
        <w:ind w:left="1440" w:hanging="22"/>
        <w:rPr>
          <w:i/>
          <w:sz w:val="20"/>
          <w:szCs w:val="20"/>
          <w:lang w:val="en-US"/>
        </w:rPr>
      </w:pPr>
      <w:r w:rsidRPr="001A00CD">
        <w:rPr>
          <w:i/>
          <w:sz w:val="20"/>
          <w:szCs w:val="20"/>
          <w:lang w:val="en-US"/>
        </w:rPr>
        <w:t>(</w:t>
      </w:r>
      <w:r w:rsidR="0032415C">
        <w:rPr>
          <w:i/>
          <w:sz w:val="20"/>
          <w:szCs w:val="20"/>
          <w:lang w:val="en-US"/>
        </w:rPr>
        <w:t xml:space="preserve">Product distribution taken from </w:t>
      </w:r>
      <w:proofErr w:type="spellStart"/>
      <w:r w:rsidRPr="001A00CD">
        <w:rPr>
          <w:i/>
          <w:sz w:val="20"/>
          <w:szCs w:val="20"/>
          <w:lang w:val="en-US"/>
        </w:rPr>
        <w:t>Schoene</w:t>
      </w:r>
      <w:proofErr w:type="spellEnd"/>
      <w:r w:rsidRPr="001A00CD">
        <w:rPr>
          <w:i/>
          <w:sz w:val="20"/>
          <w:szCs w:val="20"/>
          <w:lang w:val="en-US"/>
        </w:rPr>
        <w:t xml:space="preserve"> et al., 2014</w:t>
      </w:r>
      <w:r w:rsidR="00FF0BC1">
        <w:rPr>
          <w:i/>
          <w:sz w:val="20"/>
          <w:szCs w:val="20"/>
          <w:lang w:val="en-US"/>
        </w:rPr>
        <w:t xml:space="preserve">; a more extensive product study </w:t>
      </w:r>
      <w:r w:rsidR="00E13A5A">
        <w:rPr>
          <w:i/>
          <w:sz w:val="20"/>
          <w:szCs w:val="20"/>
          <w:lang w:val="en-US"/>
        </w:rPr>
        <w:t>is</w:t>
      </w:r>
      <w:r w:rsidR="00FF0BC1">
        <w:rPr>
          <w:i/>
          <w:sz w:val="20"/>
          <w:szCs w:val="20"/>
          <w:lang w:val="en-US"/>
        </w:rPr>
        <w:t xml:space="preserve"> discussed in thi</w:t>
      </w:r>
      <w:r w:rsidR="00E13A5A">
        <w:rPr>
          <w:i/>
          <w:sz w:val="20"/>
          <w:szCs w:val="20"/>
          <w:lang w:val="en-US"/>
        </w:rPr>
        <w:t>s</w:t>
      </w:r>
      <w:r w:rsidR="00FF0BC1">
        <w:rPr>
          <w:i/>
          <w:sz w:val="20"/>
          <w:szCs w:val="20"/>
          <w:lang w:val="en-US"/>
        </w:rPr>
        <w:t xml:space="preserve"> publication</w:t>
      </w:r>
      <w:r w:rsidRPr="001A00CD">
        <w:rPr>
          <w:i/>
          <w:sz w:val="20"/>
          <w:szCs w:val="20"/>
          <w:lang w:val="en-US"/>
        </w:rPr>
        <w:t>)</w:t>
      </w:r>
    </w:p>
    <w:p w:rsidR="00842FAF" w:rsidRPr="00FE07A8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</w:p>
    <w:p w:rsidR="00F726F5" w:rsidRPr="00FE07A8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FE07A8">
        <w:rPr>
          <w:b/>
          <w:spacing w:val="-3"/>
          <w:lang w:val="en-US"/>
        </w:rPr>
        <w:t>Rate coefficient data</w:t>
      </w:r>
    </w:p>
    <w:p w:rsidR="00C648E1" w:rsidRPr="00FE07A8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FD6843" w:rsidTr="008F2E8B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FD6843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D6843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FD6843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FD6843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FD68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FD6843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FD68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D684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D6843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FD6843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D68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FD6843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D6843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FD6843">
              <w:rPr>
                <w:spacing w:val="-3"/>
                <w:lang w:val="en-US"/>
              </w:rPr>
              <w:t>I</w:t>
            </w:r>
            <w:r w:rsidRPr="00FD6843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FD6843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FD6843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FD6843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  <w:lang w:val="en-US"/>
              </w:rPr>
            </w:pPr>
            <w:r w:rsidRPr="00FD6843">
              <w:rPr>
                <w:b w:val="0"/>
                <w:i w:val="0"/>
                <w:szCs w:val="24"/>
                <w:lang w:val="en-US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FD6843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FD6843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RPr="00FE07A8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Pr="00FE07A8" w:rsidRDefault="00CE4E2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Absolute</w:t>
            </w:r>
            <w:r w:rsidR="00C648E1" w:rsidRPr="00FE07A8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C30D0A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D0A" w:rsidRPr="00FE07A8" w:rsidRDefault="00C30D0A" w:rsidP="00877869">
            <w:pPr>
              <w:suppressAutoHyphens/>
              <w:spacing w:after="120" w:line="263" w:lineRule="atLeast"/>
              <w:jc w:val="center"/>
              <w:rPr>
                <w:rFonts w:ascii="Times New Roman" w:eastAsia="Symbol" w:hAnsi="Times New Roman" w:cs="Times New Roman"/>
                <w:spacing w:val="-3"/>
                <w:lang w:val="en-US"/>
              </w:rPr>
            </w:pP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(8.0</w:t>
            </w:r>
            <w:r w:rsidR="003251D4">
              <w:rPr>
                <w:rFonts w:ascii="Times New Roman" w:eastAsia="Symbol" w:hAnsi="Times New Roman" w:cs="Times New Roman"/>
                <w:spacing w:val="-3"/>
                <w:lang w:val="en-US"/>
              </w:rPr>
              <w:t xml:space="preserve"> 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±0.7) </w:t>
            </w:r>
            <w:r w:rsidRPr="00FE07A8">
              <w:rPr>
                <w:rFonts w:ascii="Symbol" w:eastAsia="Symbol" w:hAnsi="Symbol" w:cs="Symbol"/>
                <w:spacing w:val="-3"/>
                <w:lang w:val="en-US"/>
              </w:rPr>
              <w:t></w:t>
            </w:r>
            <w:r w:rsidRPr="00FE07A8">
              <w:rPr>
                <w:rFonts w:eastAsia="Symbol" w:cs="Symbol"/>
                <w:spacing w:val="-2"/>
                <w:lang w:val="en-US"/>
              </w:rPr>
              <w:t> </w:t>
            </w:r>
            <w:r w:rsidRPr="00FE07A8">
              <w:rPr>
                <w:spacing w:val="-2"/>
                <w:lang w:val="en-US"/>
              </w:rPr>
              <w:t>10</w:t>
            </w:r>
            <w:r w:rsidRPr="00FE07A8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D0A" w:rsidRPr="00FE07A8" w:rsidRDefault="00272284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D0A" w:rsidRPr="00FE07A8" w:rsidRDefault="009A2B51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D0A" w:rsidRPr="00FE07A8" w:rsidRDefault="008F2E8B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30D0A" w:rsidRPr="00FE07A8" w:rsidRDefault="00C30D0A" w:rsidP="00D16D06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FE07A8">
              <w:rPr>
                <w:spacing w:val="-2"/>
                <w:lang w:val="en-US"/>
              </w:rPr>
              <w:t>Buxton et al., 200</w:t>
            </w:r>
            <w:r w:rsidR="00D16D06">
              <w:rPr>
                <w:spacing w:val="-2"/>
                <w:lang w:val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0D0A" w:rsidRPr="00FE07A8" w:rsidRDefault="001A00CD" w:rsidP="001A00C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PR / LP</w:t>
            </w:r>
            <w:r w:rsidR="004C1B8E">
              <w:rPr>
                <w:spacing w:val="-2"/>
                <w:lang w:val="en-US"/>
              </w:rPr>
              <w:t xml:space="preserve"> / UV-Vis</w:t>
            </w:r>
            <w:r>
              <w:rPr>
                <w:spacing w:val="-2"/>
                <w:lang w:val="en-US"/>
              </w:rPr>
              <w:t xml:space="preserve"> </w:t>
            </w:r>
            <w:r w:rsidR="00F53C56" w:rsidRPr="00FE07A8">
              <w:rPr>
                <w:spacing w:val="-2"/>
                <w:lang w:val="en-US"/>
              </w:rPr>
              <w:t>(a)</w:t>
            </w:r>
          </w:p>
        </w:tc>
      </w:tr>
      <w:tr w:rsidR="00CE4E21" w:rsidRPr="00FE07A8" w:rsidTr="00BC1D54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E4E21" w:rsidRPr="00FE07A8" w:rsidRDefault="00CE4E21" w:rsidP="00BC1D54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 w:rsidRPr="00FE07A8">
              <w:rPr>
                <w:i/>
                <w:spacing w:val="-2"/>
                <w:lang w:val="en-US"/>
              </w:rPr>
              <w:t>Relative Rate Coefficients</w:t>
            </w:r>
          </w:p>
        </w:tc>
      </w:tr>
      <w:tr w:rsidR="00FD6843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43" w:rsidRPr="002D3B7E" w:rsidRDefault="00FD6843" w:rsidP="005309A7">
            <w:pPr>
              <w:suppressAutoHyphens/>
              <w:spacing w:after="120" w:line="263" w:lineRule="atLeast"/>
              <w:jc w:val="center"/>
              <w:rPr>
                <w:rFonts w:eastAsia="Symbol" w:cs="Symbol"/>
                <w:vertAlign w:val="superscript"/>
                <w:lang w:val="en-US"/>
              </w:rPr>
            </w:pPr>
            <w:r>
              <w:rPr>
                <w:rFonts w:eastAsia="Symbol" w:cs="Symbol"/>
                <w:lang w:val="en-US"/>
              </w:rPr>
              <w:t>9.81 × 10</w:t>
            </w:r>
            <w:r>
              <w:rPr>
                <w:rFonts w:eastAsia="Symbol" w:cs="Symbol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43" w:rsidRDefault="00FD6843" w:rsidP="005309A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5309A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5309A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5309A7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Szeremeta</w:t>
            </w:r>
            <w:proofErr w:type="spellEnd"/>
            <w:r>
              <w:rPr>
                <w:spacing w:val="-2"/>
                <w:lang w:val="en-US"/>
              </w:rPr>
              <w:t xml:space="preserve"> et al., 2007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5309A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(b)</w:t>
            </w:r>
          </w:p>
        </w:tc>
      </w:tr>
      <w:tr w:rsidR="00FD6843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5E07E2">
            <w:pPr>
              <w:suppressAutoHyphens/>
              <w:spacing w:after="120" w:line="263" w:lineRule="atLeast"/>
              <w:jc w:val="center"/>
              <w:rPr>
                <w:rFonts w:ascii="Times New Roman" w:eastAsia="Symbol" w:hAnsi="Times New Roman" w:cs="Times New Roman"/>
                <w:spacing w:val="-3"/>
                <w:lang w:val="en-US"/>
              </w:rPr>
            </w:pPr>
            <w:r>
              <w:rPr>
                <w:rFonts w:eastAsia="Symbol" w:cs="Symbol"/>
                <w:lang w:val="en-US"/>
              </w:rPr>
              <w:t>4.46 × 10</w:t>
            </w:r>
            <w:r>
              <w:rPr>
                <w:rFonts w:eastAsia="Symbol" w:cs="Symbol"/>
                <w:vertAlign w:val="superscript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Default="00FD68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BB783C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Default="00FD6843" w:rsidP="001A00C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Corrected value (b1)</w:t>
            </w:r>
          </w:p>
        </w:tc>
      </w:tr>
      <w:tr w:rsidR="00FD6843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5E07E2">
            <w:pPr>
              <w:suppressAutoHyphens/>
              <w:spacing w:after="120" w:line="263" w:lineRule="atLeast"/>
              <w:jc w:val="center"/>
              <w:rPr>
                <w:rFonts w:ascii="Times New Roman" w:eastAsia="Symbol" w:hAnsi="Times New Roman" w:cs="Times New Roman"/>
                <w:spacing w:val="-3"/>
                <w:lang w:val="en-US"/>
              </w:rPr>
            </w:pPr>
            <w:r>
              <w:rPr>
                <w:rFonts w:eastAsia="Symbol" w:cs="Symbol"/>
                <w:lang w:val="en-US"/>
              </w:rPr>
              <w:t>3.34 × 10</w:t>
            </w:r>
            <w:r>
              <w:rPr>
                <w:rFonts w:eastAsia="Symbol" w:cs="Symbol"/>
                <w:vertAlign w:val="superscript"/>
                <w:lang w:val="en-US"/>
              </w:rPr>
              <w:t>11</w:t>
            </w:r>
            <w:r>
              <w:rPr>
                <w:rFonts w:eastAsia="Symbol" w:cs="Symbol"/>
                <w:lang w:val="en-US"/>
              </w:rPr>
              <w:t xml:space="preserve"> </w:t>
            </w:r>
            <w:proofErr w:type="gramStart"/>
            <w:r>
              <w:rPr>
                <w:rFonts w:eastAsia="Symbol" w:cs="Symbol"/>
                <w:lang w:val="en-US"/>
              </w:rPr>
              <w:t>exp[</w:t>
            </w:r>
            <w:proofErr w:type="gramEnd"/>
            <w:r>
              <w:rPr>
                <w:rFonts w:eastAsia="Symbol" w:cs="Symbol"/>
                <w:lang w:val="en-US"/>
              </w:rPr>
              <w:t>-(1100</w:t>
            </w:r>
            <w:r w:rsidR="003251D4">
              <w:rPr>
                <w:rFonts w:eastAsia="Symbol" w:cs="Symbol"/>
                <w:lang w:val="en-US"/>
              </w:rPr>
              <w:t xml:space="preserve"> </w:t>
            </w:r>
            <w:r>
              <w:rPr>
                <w:rFonts w:eastAsia="Symbol" w:cs="Symbol"/>
                <w:lang w:val="en-US"/>
              </w:rPr>
              <w:t>±200)/T]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Default="00FD68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278 - 318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BB783C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Default="00FD6843" w:rsidP="001A00C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LP-LPA (b2)</w:t>
            </w:r>
          </w:p>
        </w:tc>
      </w:tr>
      <w:tr w:rsidR="00FD6843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5E07E2">
            <w:pPr>
              <w:suppressAutoHyphens/>
              <w:spacing w:after="120" w:line="263" w:lineRule="atLeast"/>
              <w:jc w:val="center"/>
              <w:rPr>
                <w:rFonts w:ascii="Times New Roman" w:eastAsia="Symbol" w:hAnsi="Times New Roman" w:cs="Times New Roman"/>
                <w:spacing w:val="-3"/>
                <w:lang w:val="en-US"/>
              </w:rPr>
            </w:pP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(1</w:t>
            </w:r>
            <w:r>
              <w:rPr>
                <w:rFonts w:ascii="Times New Roman" w:eastAsia="Symbol" w:hAnsi="Times New Roman" w:cs="Times New Roman"/>
                <w:spacing w:val="-3"/>
                <w:lang w:val="en-US"/>
              </w:rPr>
              <w:t>.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4</w:t>
            </w:r>
            <w:r w:rsidR="003251D4">
              <w:rPr>
                <w:rFonts w:ascii="Times New Roman" w:eastAsia="Symbol" w:hAnsi="Times New Roman" w:cs="Times New Roman"/>
                <w:spacing w:val="-3"/>
                <w:lang w:val="en-US"/>
              </w:rPr>
              <w:t xml:space="preserve"> 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±</w:t>
            </w:r>
            <w:r>
              <w:rPr>
                <w:rFonts w:ascii="Times New Roman" w:eastAsia="Symbol" w:hAnsi="Times New Roman" w:cs="Times New Roman"/>
                <w:spacing w:val="-3"/>
                <w:lang w:val="en-US"/>
              </w:rPr>
              <w:t>0.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3) </w:t>
            </w:r>
            <w:r w:rsidRPr="00FE07A8">
              <w:rPr>
                <w:rFonts w:ascii="Symbol" w:eastAsia="Symbol" w:hAnsi="Symbol" w:cs="Symbol"/>
                <w:spacing w:val="-3"/>
                <w:lang w:val="en-US"/>
              </w:rPr>
              <w:t></w:t>
            </w:r>
            <w:r w:rsidRPr="00FE07A8">
              <w:rPr>
                <w:rFonts w:eastAsia="Symbol" w:cs="Symbol"/>
                <w:spacing w:val="-2"/>
                <w:lang w:val="en-US"/>
              </w:rPr>
              <w:t> </w:t>
            </w:r>
            <w:r w:rsidRPr="00FE07A8"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BB783C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proofErr w:type="spellStart"/>
            <w:r w:rsidRPr="00FE07A8">
              <w:rPr>
                <w:spacing w:val="-2"/>
                <w:lang w:val="en-US"/>
              </w:rPr>
              <w:t>Gligorovski</w:t>
            </w:r>
            <w:proofErr w:type="spellEnd"/>
            <w:r w:rsidRPr="00FE07A8">
              <w:rPr>
                <w:spacing w:val="-2"/>
                <w:lang w:val="en-US"/>
              </w:rPr>
              <w:t xml:space="preserve"> et al., 2009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5309A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LP-LPA </w:t>
            </w:r>
            <w:r w:rsidRPr="00FE07A8">
              <w:rPr>
                <w:spacing w:val="-2"/>
                <w:lang w:val="en-US"/>
              </w:rPr>
              <w:t>(</w:t>
            </w:r>
            <w:r>
              <w:rPr>
                <w:spacing w:val="-2"/>
                <w:lang w:val="en-US"/>
              </w:rPr>
              <w:t>c</w:t>
            </w:r>
            <w:r w:rsidRPr="00FE07A8">
              <w:rPr>
                <w:spacing w:val="-2"/>
                <w:lang w:val="en-US"/>
              </w:rPr>
              <w:t>)</w:t>
            </w:r>
          </w:p>
        </w:tc>
      </w:tr>
      <w:tr w:rsidR="00FD6843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8F2E8B" w:rsidP="00DE2EE6">
            <w:pPr>
              <w:suppressAutoHyphens/>
              <w:spacing w:after="120" w:line="263" w:lineRule="atLeast"/>
              <w:jc w:val="center"/>
              <w:rPr>
                <w:rFonts w:ascii="Times New Roman" w:eastAsia="Symbol" w:hAnsi="Times New Roman" w:cs="Times New Roman"/>
                <w:spacing w:val="-3"/>
                <w:lang w:val="en-US"/>
              </w:rPr>
            </w:pPr>
            <w:r>
              <w:rPr>
                <w:rFonts w:ascii="Times New Roman" w:eastAsia="Symbol" w:hAnsi="Times New Roman" w:cs="Times New Roman"/>
                <w:spacing w:val="-3"/>
                <w:lang w:val="en-US"/>
              </w:rPr>
              <w:t>2.7</w:t>
            </w:r>
            <w:r w:rsidR="00FD6843"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 × 10</w:t>
            </w:r>
            <w:r w:rsidR="00FD6843" w:rsidRPr="00FE07A8">
              <w:rPr>
                <w:rFonts w:ascii="Times New Roman" w:eastAsia="Symbol" w:hAnsi="Times New Roman" w:cs="Times New Roman"/>
                <w:spacing w:val="-3"/>
                <w:vertAlign w:val="superscript"/>
                <w:lang w:val="en-US"/>
              </w:rPr>
              <w:t>13</w:t>
            </w:r>
            <w:r w:rsidR="00FD6843"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 xml:space="preserve"> </w:t>
            </w:r>
            <w:proofErr w:type="gramStart"/>
            <w:r w:rsidR="00FD6843"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exp[</w:t>
            </w:r>
            <w:proofErr w:type="gramEnd"/>
            <w:r w:rsidR="00FD6843"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-(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22</w:t>
            </w:r>
            <w:r>
              <w:rPr>
                <w:rFonts w:ascii="Times New Roman" w:eastAsia="Symbol" w:hAnsi="Times New Roman" w:cs="Times New Roman"/>
                <w:spacing w:val="-3"/>
                <w:lang w:val="en-US"/>
              </w:rPr>
              <w:t>60</w:t>
            </w:r>
            <w:r w:rsidR="003251D4">
              <w:rPr>
                <w:rFonts w:ascii="Times New Roman" w:eastAsia="Symbol" w:hAnsi="Times New Roman" w:cs="Times New Roman"/>
                <w:spacing w:val="-3"/>
                <w:lang w:val="en-US"/>
              </w:rPr>
              <w:t xml:space="preserve"> </w:t>
            </w:r>
            <w:r w:rsidR="00FD6843"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±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1</w:t>
            </w:r>
            <w:r>
              <w:rPr>
                <w:rFonts w:ascii="Times New Roman" w:eastAsia="Symbol" w:hAnsi="Times New Roman" w:cs="Times New Roman"/>
                <w:spacing w:val="-3"/>
                <w:lang w:val="en-US"/>
              </w:rPr>
              <w:t>0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0</w:t>
            </w:r>
            <w:r w:rsidR="00FD6843"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19462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278 – 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19462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19462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194620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BA1167" w:rsidP="001A00C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LP-LPA </w:t>
            </w:r>
            <w:r w:rsidRPr="00FE07A8">
              <w:rPr>
                <w:spacing w:val="-2"/>
                <w:lang w:val="en-US"/>
              </w:rPr>
              <w:t>(</w:t>
            </w:r>
            <w:r>
              <w:rPr>
                <w:spacing w:val="-2"/>
                <w:lang w:val="en-US"/>
              </w:rPr>
              <w:t>c</w:t>
            </w:r>
            <w:r w:rsidRPr="00FE07A8">
              <w:rPr>
                <w:spacing w:val="-2"/>
                <w:lang w:val="en-US"/>
              </w:rPr>
              <w:t>)</w:t>
            </w:r>
          </w:p>
        </w:tc>
      </w:tr>
      <w:tr w:rsidR="005309A7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A7" w:rsidRPr="00FE07A8" w:rsidRDefault="005309A7" w:rsidP="00194620">
            <w:pPr>
              <w:suppressAutoHyphens/>
              <w:spacing w:after="120" w:line="263" w:lineRule="atLeast"/>
              <w:jc w:val="center"/>
              <w:rPr>
                <w:rFonts w:ascii="Times New Roman" w:eastAsia="Symbol" w:hAnsi="Times New Roman" w:cs="Times New Roman"/>
                <w:spacing w:val="-3"/>
                <w:lang w:val="en-US"/>
              </w:rPr>
            </w:pP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(5.</w:t>
            </w:r>
            <w:r w:rsidR="00FD6843">
              <w:rPr>
                <w:rFonts w:ascii="Times New Roman" w:eastAsia="Symbol" w:hAnsi="Times New Roman" w:cs="Times New Roman"/>
                <w:spacing w:val="-3"/>
                <w:lang w:val="en-US"/>
              </w:rPr>
              <w:t>5</w:t>
            </w:r>
            <w:r w:rsidR="003251D4">
              <w:rPr>
                <w:rFonts w:ascii="Times New Roman" w:eastAsia="Symbol" w:hAnsi="Times New Roman" w:cs="Times New Roman"/>
                <w:spacing w:val="-3"/>
                <w:lang w:val="en-US"/>
              </w:rPr>
              <w:t xml:space="preserve"> 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±0.9) </w:t>
            </w:r>
            <w:r w:rsidRPr="00FE07A8">
              <w:rPr>
                <w:rFonts w:ascii="Symbol" w:eastAsia="Symbol" w:hAnsi="Symbol" w:cs="Symbol"/>
                <w:spacing w:val="-3"/>
                <w:lang w:val="en-US"/>
              </w:rPr>
              <w:t></w:t>
            </w:r>
            <w:r w:rsidRPr="00FE07A8">
              <w:rPr>
                <w:rFonts w:eastAsia="Symbol" w:cs="Symbol"/>
                <w:spacing w:val="-2"/>
                <w:lang w:val="en-US"/>
              </w:rPr>
              <w:t> </w:t>
            </w:r>
            <w:r w:rsidRPr="00FE07A8">
              <w:rPr>
                <w:spacing w:val="-2"/>
                <w:lang w:val="en-US"/>
              </w:rPr>
              <w:t>10</w:t>
            </w:r>
            <w:r w:rsidRPr="00FE07A8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A7" w:rsidRPr="00FE07A8" w:rsidRDefault="005309A7" w:rsidP="0019462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A7" w:rsidRPr="00FE07A8" w:rsidRDefault="006355DC" w:rsidP="0019462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A7" w:rsidRPr="00FE07A8" w:rsidRDefault="006355DC" w:rsidP="00194620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A7" w:rsidRPr="00FE07A8" w:rsidRDefault="005309A7" w:rsidP="00194620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r w:rsidRPr="00FE07A8">
              <w:rPr>
                <w:spacing w:val="-2"/>
                <w:lang w:val="en-US"/>
              </w:rPr>
              <w:t>Liu et al., 2009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9A7" w:rsidRPr="00FE07A8" w:rsidRDefault="005309A7" w:rsidP="001A00C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proofErr w:type="spellStart"/>
            <w:r>
              <w:rPr>
                <w:spacing w:val="-2"/>
                <w:lang w:val="en-US"/>
              </w:rPr>
              <w:t>cw</w:t>
            </w:r>
            <w:proofErr w:type="spellEnd"/>
            <w:r>
              <w:rPr>
                <w:spacing w:val="-2"/>
                <w:lang w:val="en-US"/>
              </w:rPr>
              <w:t xml:space="preserve"> (d</w:t>
            </w:r>
            <w:r w:rsidRPr="00FE07A8">
              <w:rPr>
                <w:spacing w:val="-2"/>
                <w:lang w:val="en-US"/>
              </w:rPr>
              <w:t>)</w:t>
            </w:r>
          </w:p>
        </w:tc>
      </w:tr>
      <w:tr w:rsidR="00FD6843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764F6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ascii="Times New Roman" w:eastAsia="Symbol" w:hAnsi="Times New Roman" w:cs="Times New Roman"/>
                <w:spacing w:val="-3"/>
                <w:lang w:val="en-US"/>
              </w:rPr>
              <w:t>(9.0</w:t>
            </w:r>
            <w:r w:rsidR="003251D4">
              <w:rPr>
                <w:rFonts w:ascii="Times New Roman" w:eastAsia="Symbol" w:hAnsi="Times New Roman" w:cs="Times New Roman"/>
                <w:spacing w:val="-3"/>
                <w:lang w:val="en-US"/>
              </w:rPr>
              <w:t xml:space="preserve"> </w:t>
            </w:r>
            <w:r w:rsidRPr="00FE07A8">
              <w:rPr>
                <w:rFonts w:ascii="Times New Roman" w:eastAsia="Symbol" w:hAnsi="Times New Roman" w:cs="Times New Roman"/>
                <w:spacing w:val="-3"/>
                <w:lang w:val="en-US"/>
              </w:rPr>
              <w:t>±0.7) </w:t>
            </w:r>
            <w:r w:rsidRPr="00FE07A8">
              <w:rPr>
                <w:rFonts w:ascii="Symbol" w:eastAsia="Symbol" w:hAnsi="Symbol" w:cs="Symbol"/>
                <w:spacing w:val="-3"/>
                <w:lang w:val="en-US"/>
              </w:rPr>
              <w:t></w:t>
            </w:r>
            <w:r w:rsidRPr="00FE07A8">
              <w:rPr>
                <w:rFonts w:eastAsia="Symbol" w:cs="Symbol"/>
                <w:spacing w:val="-2"/>
                <w:lang w:val="en-US"/>
              </w:rPr>
              <w:t> </w:t>
            </w:r>
            <w:r w:rsidRPr="00FE07A8">
              <w:rPr>
                <w:spacing w:val="-2"/>
                <w:lang w:val="en-US"/>
              </w:rPr>
              <w:t>10</w:t>
            </w:r>
            <w:r w:rsidRPr="00FE07A8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C10CD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 w:rsidRPr="00FE07A8"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C10CD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6355DC" w:rsidP="00C10CD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C10CD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  <w:proofErr w:type="spellStart"/>
            <w:r w:rsidRPr="00FE07A8">
              <w:rPr>
                <w:spacing w:val="-2"/>
                <w:lang w:val="en-US"/>
              </w:rPr>
              <w:t>Schoene</w:t>
            </w:r>
            <w:proofErr w:type="spellEnd"/>
            <w:r w:rsidRPr="00FE07A8">
              <w:rPr>
                <w:spacing w:val="-2"/>
                <w:lang w:val="en-US"/>
              </w:rPr>
              <w:t xml:space="preserve"> et al., 2014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843" w:rsidRPr="00FE07A8" w:rsidRDefault="00FD6843" w:rsidP="001A00C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</w:t>
            </w:r>
            <w:r w:rsidRPr="00FE07A8">
              <w:rPr>
                <w:spacing w:val="-2"/>
                <w:lang w:val="en-US"/>
              </w:rPr>
              <w:t>P</w:t>
            </w:r>
            <w:r>
              <w:rPr>
                <w:spacing w:val="-2"/>
                <w:lang w:val="en-US"/>
              </w:rPr>
              <w:t>-LPA</w:t>
            </w:r>
            <w:r w:rsidRPr="00FE07A8">
              <w:rPr>
                <w:spacing w:val="-2"/>
                <w:lang w:val="en-US"/>
              </w:rPr>
              <w:t xml:space="preserve"> (</w:t>
            </w:r>
            <w:r>
              <w:rPr>
                <w:spacing w:val="-2"/>
                <w:lang w:val="en-US"/>
              </w:rPr>
              <w:t>e</w:t>
            </w:r>
            <w:r w:rsidRPr="00FE07A8">
              <w:rPr>
                <w:spacing w:val="-2"/>
                <w:lang w:val="en-US"/>
              </w:rPr>
              <w:t>)</w:t>
            </w:r>
          </w:p>
        </w:tc>
      </w:tr>
      <w:tr w:rsidR="00FD6843" w:rsidRPr="00FE07A8" w:rsidTr="008F2E8B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843" w:rsidRPr="00FE07A8" w:rsidRDefault="008F2E8B" w:rsidP="00C10CD3">
            <w:pPr>
              <w:suppressAutoHyphens/>
              <w:spacing w:after="120" w:line="263" w:lineRule="atLeast"/>
              <w:jc w:val="center"/>
              <w:rPr>
                <w:rFonts w:eastAsia="Symbol" w:cs="Symbol"/>
                <w:lang w:val="en-US"/>
              </w:rPr>
            </w:pPr>
            <w:r>
              <w:rPr>
                <w:rFonts w:eastAsia="Symbol" w:cs="Symbol"/>
                <w:lang w:val="en-US"/>
              </w:rPr>
              <w:t>2.5</w:t>
            </w:r>
            <w:r w:rsidR="00FD6843" w:rsidRPr="00FE07A8">
              <w:rPr>
                <w:rFonts w:eastAsia="Symbol" w:cs="Symbol"/>
                <w:lang w:val="en-US"/>
              </w:rPr>
              <w:t> × 10</w:t>
            </w:r>
            <w:r w:rsidR="00FD6843" w:rsidRPr="00FE07A8">
              <w:rPr>
                <w:rFonts w:eastAsia="Symbol" w:cs="Symbol"/>
                <w:vertAlign w:val="superscript"/>
                <w:lang w:val="en-US"/>
              </w:rPr>
              <w:t>11</w:t>
            </w:r>
            <w:r w:rsidR="00FD6843">
              <w:rPr>
                <w:rFonts w:eastAsia="Symbol" w:cs="Symbol"/>
                <w:lang w:val="en-US"/>
              </w:rPr>
              <w:t xml:space="preserve"> </w:t>
            </w:r>
            <w:proofErr w:type="gramStart"/>
            <w:r w:rsidR="00FD6843">
              <w:rPr>
                <w:rFonts w:eastAsia="Symbol" w:cs="Symbol"/>
                <w:lang w:val="en-US"/>
              </w:rPr>
              <w:t>exp[</w:t>
            </w:r>
            <w:proofErr w:type="gramEnd"/>
            <w:r w:rsidR="00FD6843">
              <w:rPr>
                <w:rFonts w:eastAsia="Symbol" w:cs="Symbol"/>
                <w:lang w:val="en-US"/>
              </w:rPr>
              <w:t>-(</w:t>
            </w:r>
            <w:r>
              <w:rPr>
                <w:rFonts w:eastAsia="Symbol" w:cs="Symbol"/>
                <w:lang w:val="en-US"/>
              </w:rPr>
              <w:t>1000</w:t>
            </w:r>
            <w:r w:rsidR="003251D4">
              <w:rPr>
                <w:rFonts w:eastAsia="Symbol" w:cs="Symbol"/>
                <w:lang w:val="en-US"/>
              </w:rPr>
              <w:t xml:space="preserve"> </w:t>
            </w:r>
            <w:r w:rsidR="00FD6843" w:rsidRPr="00FE07A8">
              <w:rPr>
                <w:rFonts w:eastAsia="Symbol" w:cs="Symbol"/>
                <w:lang w:val="en-US"/>
              </w:rPr>
              <w:t>±</w:t>
            </w:r>
            <w:r>
              <w:rPr>
                <w:rFonts w:eastAsia="Symbol" w:cs="Symbol"/>
                <w:lang w:val="en-US"/>
              </w:rPr>
              <w:t>270</w:t>
            </w:r>
            <w:r w:rsidR="00FD6843" w:rsidRPr="00FE07A8">
              <w:rPr>
                <w:rFonts w:eastAsia="Symbol" w:cs="Symbol"/>
                <w:lang w:val="en-US"/>
              </w:rPr>
              <w:t>)/T]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843" w:rsidRPr="00FE07A8" w:rsidRDefault="00FD6843" w:rsidP="00C10CD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278 - 31</w:t>
            </w:r>
            <w:r w:rsidRPr="00FE07A8">
              <w:rPr>
                <w:spacing w:val="-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843" w:rsidRPr="00FE07A8" w:rsidRDefault="006355DC" w:rsidP="00C10CD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843" w:rsidRPr="00FE07A8" w:rsidRDefault="006355DC" w:rsidP="00C10CD3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D6843" w:rsidRPr="00FE07A8" w:rsidRDefault="00FD6843" w:rsidP="00C10CD3">
            <w:pPr>
              <w:suppressAutoHyphens/>
              <w:spacing w:line="263" w:lineRule="atLeast"/>
              <w:jc w:val="center"/>
              <w:rPr>
                <w:spacing w:val="-2"/>
                <w:lang w:val="en-US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6843" w:rsidRPr="00FE07A8" w:rsidRDefault="00FD6843" w:rsidP="001A00CD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L</w:t>
            </w:r>
            <w:r w:rsidRPr="00FE07A8">
              <w:rPr>
                <w:spacing w:val="-2"/>
                <w:lang w:val="en-US"/>
              </w:rPr>
              <w:t>P</w:t>
            </w:r>
            <w:r>
              <w:rPr>
                <w:spacing w:val="-2"/>
                <w:lang w:val="en-US"/>
              </w:rPr>
              <w:t>-LPA</w:t>
            </w:r>
            <w:r w:rsidRPr="00FE07A8">
              <w:rPr>
                <w:spacing w:val="-2"/>
                <w:lang w:val="en-US"/>
              </w:rPr>
              <w:t xml:space="preserve"> (</w:t>
            </w:r>
            <w:r>
              <w:rPr>
                <w:spacing w:val="-2"/>
                <w:lang w:val="en-US"/>
              </w:rPr>
              <w:t>e</w:t>
            </w:r>
            <w:r w:rsidRPr="00FE07A8">
              <w:rPr>
                <w:spacing w:val="-2"/>
                <w:lang w:val="en-US"/>
              </w:rPr>
              <w:t>1)</w:t>
            </w:r>
          </w:p>
        </w:tc>
      </w:tr>
    </w:tbl>
    <w:p w:rsidR="00325D6F" w:rsidRPr="00FE07A8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FD42C5" w:rsidRPr="00FE07A8" w:rsidRDefault="00FD42C5" w:rsidP="00FD42C5">
      <w:pPr>
        <w:ind w:left="1440" w:firstLine="828"/>
        <w:rPr>
          <w:rFonts w:ascii="Symbol" w:hAnsi="Symbol"/>
          <w:spacing w:val="-3"/>
          <w:lang w:val="en-US"/>
        </w:rPr>
      </w:pPr>
    </w:p>
    <w:p w:rsidR="00FD42C5" w:rsidRPr="00FE07A8" w:rsidRDefault="00FD42C5" w:rsidP="00FD42C5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FE07A8">
        <w:rPr>
          <w:rFonts w:ascii="Symbol" w:eastAsia="Symbol" w:hAnsi="Symbol" w:cs="Symbol"/>
          <w:spacing w:val="-3"/>
          <w:lang w:val="en-US"/>
        </w:rPr>
        <w:t></w:t>
      </w:r>
      <w:r w:rsidRPr="00FE07A8">
        <w:rPr>
          <w:rFonts w:eastAsia="Symbol"/>
          <w:i/>
          <w:spacing w:val="-3"/>
          <w:lang w:val="en-US"/>
        </w:rPr>
        <w:t>G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iCs/>
          <w:spacing w:val="-3"/>
          <w:lang w:val="en-US"/>
        </w:rPr>
        <w:t xml:space="preserve"> (</w:t>
      </w:r>
      <w:proofErr w:type="spellStart"/>
      <w:r w:rsidRPr="00FE07A8">
        <w:rPr>
          <w:rFonts w:eastAsia="Symbol" w:cs="Symbol"/>
          <w:iCs/>
          <w:spacing w:val="-3"/>
          <w:lang w:val="en-US"/>
        </w:rPr>
        <w:t>aq</w:t>
      </w:r>
      <w:proofErr w:type="spellEnd"/>
      <w:r w:rsidRPr="00FE07A8">
        <w:rPr>
          <w:rFonts w:eastAsia="Symbol" w:cs="Symbol"/>
          <w:iCs/>
          <w:spacing w:val="-3"/>
          <w:lang w:val="en-US"/>
        </w:rPr>
        <w:t>)</w:t>
      </w:r>
      <w:r w:rsidRPr="00FE07A8">
        <w:rPr>
          <w:rFonts w:eastAsia="Symbol" w:cs="Symbol"/>
          <w:lang w:val="en-US"/>
        </w:rPr>
        <w:t xml:space="preserve">: Aqueous phase thermochemical data not available. As well, gas phase thermochemical data </w:t>
      </w:r>
      <w:r w:rsidRPr="00FE07A8">
        <w:rPr>
          <w:rFonts w:ascii="Symbol" w:eastAsia="Symbol" w:hAnsi="Symbol" w:cs="Symbol"/>
          <w:i/>
          <w:spacing w:val="-3"/>
          <w:lang w:val="en-US"/>
        </w:rPr>
        <w:t>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spacing w:val="-3"/>
          <w:lang w:val="en-US"/>
        </w:rPr>
        <w:t xml:space="preserve"> (g) are not available.</w:t>
      </w:r>
    </w:p>
    <w:p w:rsidR="00FD42C5" w:rsidRDefault="00FD42C5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US"/>
        </w:rPr>
      </w:pPr>
    </w:p>
    <w:p w:rsidR="00821651" w:rsidRPr="00FE07A8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FE07A8">
        <w:rPr>
          <w:b/>
          <w:spacing w:val="-3"/>
          <w:lang w:val="en-US"/>
        </w:rPr>
        <w:t>Comments</w:t>
      </w:r>
    </w:p>
    <w:p w:rsidR="00F53C56" w:rsidRPr="00FE07A8" w:rsidRDefault="00F53C56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US"/>
        </w:rPr>
      </w:pPr>
    </w:p>
    <w:p w:rsidR="00F53C56" w:rsidRDefault="00FD6843" w:rsidP="002D6DF0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lastRenderedPageBreak/>
        <w:t>P</w:t>
      </w:r>
      <w:r w:rsidR="00CE4E21">
        <w:rPr>
          <w:spacing w:val="-3"/>
          <w:lang w:val="en-US"/>
        </w:rPr>
        <w:t xml:space="preserve">roduct formation </w:t>
      </w:r>
      <w:r w:rsidR="004C1B8E">
        <w:rPr>
          <w:spacing w:val="-3"/>
          <w:lang w:val="en-US"/>
        </w:rPr>
        <w:t xml:space="preserve">observed at 250 nm; </w:t>
      </w:r>
      <w:r w:rsidR="004C1B8E">
        <w:rPr>
          <w:i/>
          <w:spacing w:val="-3"/>
          <w:lang w:val="en-US"/>
        </w:rPr>
        <w:t>c</w:t>
      </w:r>
      <w:r w:rsidR="004C1B8E">
        <w:rPr>
          <w:spacing w:val="-3"/>
          <w:lang w:val="en-US"/>
        </w:rPr>
        <w:t>(methacrolein) = 2.4 × 10</w:t>
      </w:r>
      <w:r w:rsidR="004C1B8E">
        <w:rPr>
          <w:spacing w:val="-3"/>
          <w:vertAlign w:val="superscript"/>
          <w:lang w:val="en-US"/>
        </w:rPr>
        <w:noBreakHyphen/>
        <w:t>5</w:t>
      </w:r>
      <w:r w:rsidR="004C1B8E">
        <w:rPr>
          <w:spacing w:val="-3"/>
          <w:lang w:val="en-US"/>
        </w:rPr>
        <w:t xml:space="preserve"> to 18 × 10</w:t>
      </w:r>
      <w:r w:rsidR="004C1B8E">
        <w:rPr>
          <w:spacing w:val="-3"/>
          <w:vertAlign w:val="superscript"/>
          <w:lang w:val="en-US"/>
        </w:rPr>
        <w:noBreakHyphen/>
        <w:t>5</w:t>
      </w:r>
      <w:r w:rsidR="004C1B8E">
        <w:rPr>
          <w:spacing w:val="-3"/>
          <w:lang w:val="en-US"/>
        </w:rPr>
        <w:t> M</w:t>
      </w:r>
      <w:r w:rsidR="00CE4E21">
        <w:rPr>
          <w:spacing w:val="-3"/>
          <w:lang w:val="en-US"/>
        </w:rPr>
        <w:t xml:space="preserve">; </w:t>
      </w:r>
      <w:r>
        <w:rPr>
          <w:spacing w:val="-3"/>
          <w:lang w:val="en-US"/>
        </w:rPr>
        <w:t>N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 xml:space="preserve">O saturated solutions, </w:t>
      </w:r>
      <w:r w:rsidR="00CE4E21">
        <w:rPr>
          <w:spacing w:val="-3"/>
          <w:lang w:val="en-US"/>
        </w:rPr>
        <w:t>product spectrums were taken from a 5.5 × 10</w:t>
      </w:r>
      <w:r w:rsidR="00CE4E21">
        <w:rPr>
          <w:spacing w:val="-3"/>
          <w:vertAlign w:val="superscript"/>
          <w:lang w:val="en-US"/>
        </w:rPr>
        <w:noBreakHyphen/>
        <w:t>4</w:t>
      </w:r>
      <w:r w:rsidR="00CE4E21">
        <w:rPr>
          <w:spacing w:val="-3"/>
          <w:lang w:val="en-US"/>
        </w:rPr>
        <w:t> M solution of methacrolein, 3 µs after the pulse.</w:t>
      </w:r>
    </w:p>
    <w:p w:rsidR="00FD6843" w:rsidRDefault="00FD6843" w:rsidP="00FD6843">
      <w:pPr>
        <w:tabs>
          <w:tab w:val="left" w:pos="426"/>
          <w:tab w:val="left" w:pos="720"/>
        </w:tabs>
        <w:suppressAutoHyphens/>
        <w:spacing w:line="240" w:lineRule="atLeast"/>
        <w:ind w:left="720"/>
        <w:jc w:val="both"/>
        <w:rPr>
          <w:spacing w:val="-3"/>
          <w:lang w:val="en-US"/>
        </w:rPr>
      </w:pPr>
    </w:p>
    <w:p w:rsidR="005309A7" w:rsidRPr="00A37AA5" w:rsidRDefault="00FD6843" w:rsidP="005309A7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>R</w:t>
      </w:r>
      <w:r w:rsidR="005309A7">
        <w:rPr>
          <w:spacing w:val="-3"/>
          <w:lang w:val="en-US"/>
        </w:rPr>
        <w:t xml:space="preserve">adicals generated by photolysis of </w:t>
      </w:r>
      <w:r w:rsidR="005309A7" w:rsidRPr="00FE07A8">
        <w:rPr>
          <w:spacing w:val="-2"/>
          <w:lang w:val="en-US"/>
        </w:rPr>
        <w:t>H</w:t>
      </w:r>
      <w:r w:rsidR="005309A7" w:rsidRPr="00FE07A8">
        <w:rPr>
          <w:spacing w:val="-2"/>
          <w:vertAlign w:val="subscript"/>
          <w:lang w:val="en-US"/>
        </w:rPr>
        <w:t>2</w:t>
      </w:r>
      <w:r w:rsidR="005309A7" w:rsidRPr="00FE07A8">
        <w:rPr>
          <w:spacing w:val="-2"/>
          <w:lang w:val="en-US"/>
        </w:rPr>
        <w:t>O</w:t>
      </w:r>
      <w:r w:rsidR="005309A7" w:rsidRPr="00FE07A8">
        <w:rPr>
          <w:spacing w:val="-2"/>
          <w:vertAlign w:val="subscript"/>
          <w:lang w:val="en-US"/>
        </w:rPr>
        <w:t>2</w:t>
      </w:r>
      <w:r w:rsidR="005309A7" w:rsidRPr="00FE07A8">
        <w:rPr>
          <w:spacing w:val="-2"/>
          <w:lang w:val="en-US"/>
        </w:rPr>
        <w:t xml:space="preserve"> solution at 248 nm</w:t>
      </w:r>
      <w:r w:rsidR="005309A7">
        <w:rPr>
          <w:spacing w:val="-2"/>
          <w:lang w:val="en-US"/>
        </w:rPr>
        <w:t xml:space="preserve">, product detection at 436 nm; </w:t>
      </w:r>
      <w:r w:rsidR="005309A7" w:rsidRPr="00FE07A8">
        <w:rPr>
          <w:spacing w:val="-2"/>
          <w:lang w:val="en-US"/>
        </w:rPr>
        <w:t xml:space="preserve">reference reaction: </w:t>
      </w:r>
      <w:r w:rsidR="006355DC">
        <w:rPr>
          <w:lang w:val="en-US"/>
        </w:rPr>
        <w:t>HO</w:t>
      </w:r>
      <w:r w:rsidR="005309A7" w:rsidRPr="00FE07A8">
        <w:rPr>
          <w:lang w:val="en-US"/>
        </w:rPr>
        <w:t xml:space="preserve"> + SCN</w:t>
      </w:r>
      <w:r w:rsidR="005309A7" w:rsidRPr="00FE07A8">
        <w:rPr>
          <w:vertAlign w:val="superscript"/>
          <w:lang w:val="en-US"/>
        </w:rPr>
        <w:noBreakHyphen/>
      </w:r>
      <w:r w:rsidR="005309A7" w:rsidRPr="00FE07A8">
        <w:rPr>
          <w:lang w:val="en-US"/>
        </w:rPr>
        <w:t xml:space="preserve"> with ln </w:t>
      </w:r>
      <w:r w:rsidR="005309A7" w:rsidRPr="00FE07A8">
        <w:rPr>
          <w:rFonts w:ascii="Times New Roman" w:hAnsi="Times New Roman" w:cs="Times New Roman"/>
          <w:bCs/>
          <w:i/>
          <w:iCs/>
          <w:lang w:val="en-US" w:eastAsia="en-CA"/>
        </w:rPr>
        <w:t>k</w:t>
      </w:r>
      <w:r w:rsidR="005309A7" w:rsidRPr="00FE07A8">
        <w:rPr>
          <w:rFonts w:ascii="Times New Roman" w:hAnsi="Times New Roman" w:cs="Times New Roman"/>
          <w:bCs/>
          <w:iCs/>
          <w:lang w:val="en-US" w:eastAsia="en-CA"/>
        </w:rPr>
        <w:t>(T)</w:t>
      </w:r>
      <w:r w:rsidR="005309A7" w:rsidRPr="00FE07A8">
        <w:rPr>
          <w:rFonts w:ascii="Times New Roman" w:hAnsi="Times New Roman" w:cs="Times New Roman"/>
          <w:bCs/>
          <w:i/>
          <w:iCs/>
          <w:lang w:val="en-US" w:eastAsia="en-CA"/>
        </w:rPr>
        <w:t xml:space="preserve"> = </w:t>
      </w:r>
      <w:r w:rsidR="005309A7" w:rsidRPr="00FE07A8">
        <w:rPr>
          <w:rFonts w:ascii="Times New Roman" w:hAnsi="Times New Roman" w:cs="Times New Roman"/>
          <w:bCs/>
          <w:lang w:val="en-US" w:eastAsia="en-CA"/>
        </w:rPr>
        <w:t>(29.614±0.636) - (1900±</w:t>
      </w:r>
      <w:r w:rsidR="005309A7" w:rsidRPr="00FE07A8">
        <w:rPr>
          <w:rFonts w:ascii="Times New Roman" w:hAnsi="Times New Roman" w:cs="Times New Roman"/>
          <w:bCs/>
          <w:iCs/>
          <w:lang w:val="en-US" w:eastAsia="en-CA"/>
        </w:rPr>
        <w:t>190)/T</w:t>
      </w:r>
      <w:r w:rsidR="005309A7" w:rsidRPr="00FE07A8">
        <w:rPr>
          <w:lang w:val="en-US"/>
        </w:rPr>
        <w:t> M</w:t>
      </w:r>
      <w:r w:rsidR="005309A7" w:rsidRPr="00FE07A8">
        <w:rPr>
          <w:vertAlign w:val="superscript"/>
          <w:lang w:val="en-US"/>
        </w:rPr>
        <w:noBreakHyphen/>
        <w:t>1</w:t>
      </w:r>
      <w:r w:rsidR="005309A7" w:rsidRPr="00FE07A8">
        <w:rPr>
          <w:lang w:val="en-US"/>
        </w:rPr>
        <w:t> s</w:t>
      </w:r>
      <w:r w:rsidR="005309A7" w:rsidRPr="00FE07A8">
        <w:rPr>
          <w:vertAlign w:val="superscript"/>
          <w:lang w:val="en-US"/>
        </w:rPr>
        <w:noBreakHyphen/>
        <w:t>1</w:t>
      </w:r>
      <w:r w:rsidR="005309A7" w:rsidRPr="00FE07A8">
        <w:rPr>
          <w:lang w:val="en-US"/>
        </w:rPr>
        <w:t xml:space="preserve"> (according to Chin and Wine (1992));</w:t>
      </w:r>
      <w:r w:rsidR="005309A7">
        <w:rPr>
          <w:spacing w:val="-2"/>
          <w:lang w:val="en-US"/>
        </w:rPr>
        <w:t xml:space="preserve"> </w:t>
      </w:r>
      <w:r w:rsidR="00DE723A">
        <w:rPr>
          <w:rFonts w:eastAsia="Symbol" w:cs="Symbol"/>
          <w:spacing w:val="-2"/>
          <w:lang w:val="en-GB"/>
        </w:rPr>
        <w:t xml:space="preserve">for the recalculation, the selected temperature dependence by Zhu et al. (2003) has been used; </w:t>
      </w:r>
      <w:r w:rsidR="00DE723A">
        <w:rPr>
          <w:i/>
          <w:spacing w:val="-2"/>
          <w:lang w:val="en-US"/>
        </w:rPr>
        <w:t xml:space="preserve"> </w:t>
      </w:r>
      <w:r w:rsidR="005309A7">
        <w:rPr>
          <w:i/>
          <w:spacing w:val="-2"/>
          <w:lang w:val="en-US"/>
        </w:rPr>
        <w:t>c</w:t>
      </w:r>
      <w:r w:rsidR="005309A7">
        <w:rPr>
          <w:spacing w:val="-2"/>
          <w:lang w:val="en-US"/>
        </w:rPr>
        <w:t>(H</w:t>
      </w:r>
      <w:r w:rsidR="005309A7">
        <w:rPr>
          <w:spacing w:val="-2"/>
          <w:vertAlign w:val="subscript"/>
          <w:lang w:val="en-US"/>
        </w:rPr>
        <w:t>2</w:t>
      </w:r>
      <w:r w:rsidR="005309A7">
        <w:rPr>
          <w:spacing w:val="-2"/>
          <w:lang w:val="en-US"/>
        </w:rPr>
        <w:t>O</w:t>
      </w:r>
      <w:r w:rsidR="005309A7">
        <w:rPr>
          <w:spacing w:val="-2"/>
          <w:vertAlign w:val="subscript"/>
          <w:lang w:val="en-US"/>
        </w:rPr>
        <w:t>2</w:t>
      </w:r>
      <w:r w:rsidR="005309A7">
        <w:rPr>
          <w:spacing w:val="-2"/>
          <w:lang w:val="en-US"/>
        </w:rPr>
        <w:t>) = 2</w:t>
      </w:r>
      <w:r w:rsidR="00BA1167">
        <w:rPr>
          <w:spacing w:val="-2"/>
          <w:lang w:val="en-US"/>
        </w:rPr>
        <w:t> </w:t>
      </w:r>
      <w:r w:rsidR="005309A7">
        <w:rPr>
          <w:spacing w:val="-2"/>
          <w:lang w:val="en-US"/>
        </w:rPr>
        <w:t>×</w:t>
      </w:r>
      <w:r w:rsidR="00BA1167">
        <w:rPr>
          <w:spacing w:val="-2"/>
          <w:lang w:val="en-US"/>
        </w:rPr>
        <w:t> </w:t>
      </w:r>
      <w:r w:rsidR="005309A7">
        <w:rPr>
          <w:spacing w:val="-2"/>
          <w:lang w:val="en-US"/>
        </w:rPr>
        <w:t>10</w:t>
      </w:r>
      <w:r w:rsidR="00BA1167">
        <w:rPr>
          <w:spacing w:val="-2"/>
          <w:vertAlign w:val="superscript"/>
          <w:lang w:val="en-US"/>
        </w:rPr>
        <w:noBreakHyphen/>
      </w:r>
      <w:r w:rsidR="005309A7">
        <w:rPr>
          <w:spacing w:val="-2"/>
          <w:vertAlign w:val="superscript"/>
          <w:lang w:val="en-US"/>
        </w:rPr>
        <w:t>5</w:t>
      </w:r>
      <w:r w:rsidR="005309A7">
        <w:rPr>
          <w:spacing w:val="-2"/>
          <w:lang w:val="en-US"/>
        </w:rPr>
        <w:t xml:space="preserve"> M, </w:t>
      </w:r>
      <w:r w:rsidR="005309A7">
        <w:rPr>
          <w:i/>
          <w:spacing w:val="-2"/>
          <w:lang w:val="en-US"/>
        </w:rPr>
        <w:t>c</w:t>
      </w:r>
      <w:r w:rsidR="005309A7">
        <w:rPr>
          <w:spacing w:val="-2"/>
          <w:lang w:val="en-US"/>
        </w:rPr>
        <w:t>(KSCN) = 1 × 10</w:t>
      </w:r>
      <w:r w:rsidR="005309A7">
        <w:rPr>
          <w:spacing w:val="-2"/>
          <w:vertAlign w:val="superscript"/>
          <w:lang w:val="en-US"/>
        </w:rPr>
        <w:t>-4</w:t>
      </w:r>
      <w:r w:rsidR="005309A7">
        <w:rPr>
          <w:spacing w:val="-2"/>
          <w:lang w:val="en-US"/>
        </w:rPr>
        <w:t xml:space="preserve"> M, </w:t>
      </w:r>
      <w:r w:rsidR="005309A7">
        <w:rPr>
          <w:i/>
          <w:spacing w:val="-2"/>
          <w:lang w:val="en-US"/>
        </w:rPr>
        <w:t>c</w:t>
      </w:r>
      <w:r w:rsidR="005309A7">
        <w:rPr>
          <w:spacing w:val="-2"/>
          <w:lang w:val="en-US"/>
        </w:rPr>
        <w:t>(methacrolein) ranging from 5 × 10</w:t>
      </w:r>
      <w:r w:rsidR="005309A7">
        <w:rPr>
          <w:spacing w:val="-2"/>
          <w:vertAlign w:val="superscript"/>
          <w:lang w:val="en-US"/>
        </w:rPr>
        <w:t>-6</w:t>
      </w:r>
      <w:r w:rsidR="005309A7">
        <w:rPr>
          <w:spacing w:val="-2"/>
          <w:lang w:val="en-US"/>
        </w:rPr>
        <w:t xml:space="preserve"> to 1 × 10</w:t>
      </w:r>
      <w:r w:rsidR="005309A7">
        <w:rPr>
          <w:spacing w:val="-2"/>
          <w:vertAlign w:val="superscript"/>
          <w:lang w:val="en-US"/>
        </w:rPr>
        <w:t>-4</w:t>
      </w:r>
      <w:r w:rsidR="005309A7">
        <w:rPr>
          <w:spacing w:val="-2"/>
          <w:lang w:val="en-US"/>
        </w:rPr>
        <w:t xml:space="preserve"> M; </w:t>
      </w:r>
      <w:r w:rsidR="005309A7">
        <w:rPr>
          <w:spacing w:val="-3"/>
          <w:lang w:val="en-US"/>
        </w:rPr>
        <w:t xml:space="preserve">the rate constants at </w:t>
      </w:r>
      <w:r w:rsidR="005309A7" w:rsidRPr="00680D2D">
        <w:rPr>
          <w:spacing w:val="-3"/>
          <w:lang w:val="en-US"/>
        </w:rPr>
        <w:t>298</w:t>
      </w:r>
      <w:r w:rsidR="005309A7">
        <w:rPr>
          <w:spacing w:val="-3"/>
          <w:lang w:val="en-US"/>
        </w:rPr>
        <w:t> K were determined from plotted data, as no specific temperature dependent value was given in the publication; (b1): corrected rate constant, calculated by considering simultaneous diffusion and first order chemical reaction; (b2): Arrhenius expression was calculated using the given activation parameters; all experiments were repeated eight times for reproducibility</w:t>
      </w:r>
      <w:r w:rsidR="006355DC">
        <w:rPr>
          <w:spacing w:val="-3"/>
          <w:lang w:val="en-US"/>
        </w:rPr>
        <w:t>; pH is given as neutral</w:t>
      </w:r>
      <w:r w:rsidR="005309A7">
        <w:rPr>
          <w:spacing w:val="-3"/>
          <w:lang w:val="en-US"/>
        </w:rPr>
        <w:t>.</w:t>
      </w:r>
    </w:p>
    <w:p w:rsidR="005309A7" w:rsidRDefault="005309A7" w:rsidP="005309A7">
      <w:pPr>
        <w:pStyle w:val="Listenabsatz"/>
        <w:rPr>
          <w:spacing w:val="-2"/>
          <w:lang w:val="en-US"/>
        </w:rPr>
      </w:pPr>
    </w:p>
    <w:p w:rsidR="00F53C56" w:rsidRDefault="00FD6843" w:rsidP="002D6DF0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>R</w:t>
      </w:r>
      <w:r w:rsidR="00203B6A">
        <w:rPr>
          <w:spacing w:val="-3"/>
          <w:lang w:val="en-US"/>
        </w:rPr>
        <w:t>adicals generated by photolysis</w:t>
      </w:r>
      <w:r w:rsidR="002B1877">
        <w:rPr>
          <w:spacing w:val="-3"/>
          <w:lang w:val="en-US"/>
        </w:rPr>
        <w:t xml:space="preserve"> of </w:t>
      </w:r>
      <w:r w:rsidR="002B1877" w:rsidRPr="00FE07A8">
        <w:rPr>
          <w:spacing w:val="-2"/>
          <w:lang w:val="en-US"/>
        </w:rPr>
        <w:t>H</w:t>
      </w:r>
      <w:r w:rsidR="002B1877" w:rsidRPr="00FE07A8">
        <w:rPr>
          <w:spacing w:val="-2"/>
          <w:vertAlign w:val="subscript"/>
          <w:lang w:val="en-US"/>
        </w:rPr>
        <w:t>2</w:t>
      </w:r>
      <w:r w:rsidR="002B1877" w:rsidRPr="00FE07A8">
        <w:rPr>
          <w:spacing w:val="-2"/>
          <w:lang w:val="en-US"/>
        </w:rPr>
        <w:t>O</w:t>
      </w:r>
      <w:r w:rsidR="002B1877" w:rsidRPr="00FE07A8">
        <w:rPr>
          <w:spacing w:val="-2"/>
          <w:vertAlign w:val="subscript"/>
          <w:lang w:val="en-US"/>
        </w:rPr>
        <w:t>2</w:t>
      </w:r>
      <w:r w:rsidR="002B1877" w:rsidRPr="00FE07A8">
        <w:rPr>
          <w:spacing w:val="-2"/>
          <w:lang w:val="en-US"/>
        </w:rPr>
        <w:t xml:space="preserve"> solution at 248 nm</w:t>
      </w:r>
      <w:r w:rsidR="002B1877">
        <w:rPr>
          <w:spacing w:val="-2"/>
          <w:lang w:val="en-US"/>
        </w:rPr>
        <w:t xml:space="preserve"> in a Teflon waveguide photolysis system</w:t>
      </w:r>
      <w:r w:rsidR="00203B6A">
        <w:rPr>
          <w:spacing w:val="-3"/>
          <w:lang w:val="en-US"/>
        </w:rPr>
        <w:t xml:space="preserve">; reference reaction: </w:t>
      </w:r>
      <w:r w:rsidR="006355DC">
        <w:rPr>
          <w:lang w:val="en-US"/>
        </w:rPr>
        <w:t>HO</w:t>
      </w:r>
      <w:r w:rsidR="00740815" w:rsidRPr="00FE07A8">
        <w:rPr>
          <w:lang w:val="en-US"/>
        </w:rPr>
        <w:t xml:space="preserve"> + SCN</w:t>
      </w:r>
      <w:r w:rsidR="00740815" w:rsidRPr="00FE07A8">
        <w:rPr>
          <w:vertAlign w:val="superscript"/>
          <w:lang w:val="en-US"/>
        </w:rPr>
        <w:noBreakHyphen/>
      </w:r>
      <w:r w:rsidR="00740815" w:rsidRPr="00740815">
        <w:rPr>
          <w:lang w:val="en-US"/>
        </w:rPr>
        <w:t xml:space="preserve"> </w:t>
      </w:r>
      <w:r w:rsidR="00740815" w:rsidRPr="00FE07A8">
        <w:rPr>
          <w:lang w:val="en-US"/>
        </w:rPr>
        <w:t xml:space="preserve">with ln </w:t>
      </w:r>
      <w:r w:rsidR="00740815" w:rsidRPr="00FE07A8">
        <w:rPr>
          <w:rFonts w:ascii="Times New Roman" w:hAnsi="Times New Roman" w:cs="Times New Roman"/>
          <w:bCs/>
          <w:i/>
          <w:iCs/>
          <w:lang w:val="en-US" w:eastAsia="en-CA"/>
        </w:rPr>
        <w:t>k</w:t>
      </w:r>
      <w:r w:rsidR="00740815" w:rsidRPr="00FE07A8">
        <w:rPr>
          <w:rFonts w:ascii="Times New Roman" w:hAnsi="Times New Roman" w:cs="Times New Roman"/>
          <w:bCs/>
          <w:iCs/>
          <w:lang w:val="en-US" w:eastAsia="en-CA"/>
        </w:rPr>
        <w:t>(T)</w:t>
      </w:r>
      <w:r w:rsidR="00740815" w:rsidRPr="00FE07A8">
        <w:rPr>
          <w:rFonts w:ascii="Times New Roman" w:hAnsi="Times New Roman" w:cs="Times New Roman"/>
          <w:bCs/>
          <w:i/>
          <w:iCs/>
          <w:lang w:val="en-US" w:eastAsia="en-CA"/>
        </w:rPr>
        <w:t xml:space="preserve"> = </w:t>
      </w:r>
      <w:r w:rsidR="00740815" w:rsidRPr="00FE07A8">
        <w:rPr>
          <w:rFonts w:ascii="Times New Roman" w:hAnsi="Times New Roman" w:cs="Times New Roman"/>
          <w:bCs/>
          <w:lang w:val="en-US" w:eastAsia="en-CA"/>
        </w:rPr>
        <w:t>(29.614±0.636) - (1900±</w:t>
      </w:r>
      <w:r w:rsidR="00740815" w:rsidRPr="00FE07A8">
        <w:rPr>
          <w:rFonts w:ascii="Times New Roman" w:hAnsi="Times New Roman" w:cs="Times New Roman"/>
          <w:bCs/>
          <w:iCs/>
          <w:lang w:val="en-US" w:eastAsia="en-CA"/>
        </w:rPr>
        <w:t>190)/T</w:t>
      </w:r>
      <w:r w:rsidR="00740815" w:rsidRPr="00FE07A8">
        <w:rPr>
          <w:lang w:val="en-US"/>
        </w:rPr>
        <w:t> M</w:t>
      </w:r>
      <w:r w:rsidR="00740815" w:rsidRPr="00FE07A8">
        <w:rPr>
          <w:vertAlign w:val="superscript"/>
          <w:lang w:val="en-US"/>
        </w:rPr>
        <w:noBreakHyphen/>
        <w:t>1</w:t>
      </w:r>
      <w:r w:rsidR="00740815" w:rsidRPr="00FE07A8">
        <w:rPr>
          <w:lang w:val="en-US"/>
        </w:rPr>
        <w:t> s</w:t>
      </w:r>
      <w:r w:rsidR="00740815" w:rsidRPr="00FE07A8">
        <w:rPr>
          <w:vertAlign w:val="superscript"/>
          <w:lang w:val="en-US"/>
        </w:rPr>
        <w:noBreakHyphen/>
        <w:t>1</w:t>
      </w:r>
      <w:r w:rsidR="00740815" w:rsidRPr="00FE07A8">
        <w:rPr>
          <w:lang w:val="en-US"/>
        </w:rPr>
        <w:t xml:space="preserve"> (according to Chin and Wine (1992))</w:t>
      </w:r>
      <w:r w:rsidR="006355DC">
        <w:rPr>
          <w:lang w:val="en-US"/>
        </w:rPr>
        <w:t>;</w:t>
      </w:r>
      <w:r w:rsidR="006355DC" w:rsidRPr="006355DC">
        <w:rPr>
          <w:rFonts w:eastAsia="Symbol" w:cs="Symbol"/>
          <w:spacing w:val="-2"/>
          <w:lang w:val="en-GB"/>
        </w:rPr>
        <w:t xml:space="preserve"> </w:t>
      </w:r>
      <w:r w:rsidR="006355DC">
        <w:rPr>
          <w:rFonts w:eastAsia="Symbol" w:cs="Symbol"/>
          <w:spacing w:val="-2"/>
          <w:lang w:val="en-GB"/>
        </w:rPr>
        <w:t>for the recalculation, the selected temperature dependence by Zhu et al. (2003) has been used</w:t>
      </w:r>
      <w:r w:rsidR="001A00CD">
        <w:rPr>
          <w:lang w:val="en-US"/>
        </w:rPr>
        <w:t>.</w:t>
      </w:r>
    </w:p>
    <w:p w:rsidR="00877C06" w:rsidRPr="00FE07A8" w:rsidRDefault="00877C06" w:rsidP="00877C06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272284" w:rsidRDefault="00272284" w:rsidP="00272284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>
        <w:rPr>
          <w:spacing w:val="-3"/>
          <w:lang w:val="en-US"/>
        </w:rPr>
        <w:t>Radicals generated by</w:t>
      </w:r>
      <w:r w:rsidR="00C71DC0">
        <w:rPr>
          <w:spacing w:val="-3"/>
          <w:lang w:val="en-US"/>
        </w:rPr>
        <w:t xml:space="preserve"> continuous</w:t>
      </w:r>
      <w:r w:rsidR="00764F62">
        <w:rPr>
          <w:spacing w:val="-3"/>
          <w:lang w:val="en-US"/>
        </w:rPr>
        <w:t xml:space="preserve"> wave </w:t>
      </w:r>
      <w:r>
        <w:rPr>
          <w:spacing w:val="-3"/>
          <w:lang w:val="en-US"/>
        </w:rPr>
        <w:t>photolysis of H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>O</w:t>
      </w:r>
      <w:r>
        <w:rPr>
          <w:spacing w:val="-3"/>
          <w:vertAlign w:val="subscript"/>
          <w:lang w:val="en-US"/>
        </w:rPr>
        <w:t>2</w:t>
      </w:r>
      <w:r>
        <w:rPr>
          <w:spacing w:val="-3"/>
          <w:lang w:val="en-US"/>
        </w:rPr>
        <w:t xml:space="preserve"> solutions</w:t>
      </w:r>
      <w:r w:rsidR="00C71DC0">
        <w:rPr>
          <w:spacing w:val="-3"/>
          <w:lang w:val="en-US"/>
        </w:rPr>
        <w:t xml:space="preserve"> as described in Monod et al.(2000)</w:t>
      </w:r>
      <w:r w:rsidR="009A2B51">
        <w:rPr>
          <w:spacing w:val="-3"/>
          <w:lang w:val="en-US"/>
        </w:rPr>
        <w:t>, products were analyzed by HPLC-UV at 360 nm</w:t>
      </w:r>
      <w:r>
        <w:rPr>
          <w:spacing w:val="-3"/>
          <w:lang w:val="en-US"/>
        </w:rPr>
        <w:t>; reference rea</w:t>
      </w:r>
      <w:r w:rsidR="00680D2D">
        <w:rPr>
          <w:spacing w:val="-3"/>
          <w:lang w:val="en-US"/>
        </w:rPr>
        <w:t>c</w:t>
      </w:r>
      <w:r>
        <w:rPr>
          <w:spacing w:val="-3"/>
          <w:lang w:val="en-US"/>
        </w:rPr>
        <w:t xml:space="preserve">tion: </w:t>
      </w:r>
      <w:r w:rsidR="006355DC">
        <w:rPr>
          <w:lang w:val="en-US"/>
        </w:rPr>
        <w:t>HO</w:t>
      </w:r>
      <w:r w:rsidRPr="00FE07A8">
        <w:rPr>
          <w:lang w:val="en-US"/>
        </w:rPr>
        <w:t xml:space="preserve"> + </w:t>
      </w:r>
      <w:r>
        <w:rPr>
          <w:spacing w:val="-3"/>
          <w:lang w:val="en-US"/>
        </w:rPr>
        <w:t>1</w:t>
      </w:r>
      <w:r>
        <w:rPr>
          <w:spacing w:val="-3"/>
          <w:lang w:val="en-US"/>
        </w:rPr>
        <w:noBreakHyphen/>
        <w:t xml:space="preserve">propanol with </w:t>
      </w:r>
      <w:r>
        <w:rPr>
          <w:i/>
          <w:spacing w:val="-3"/>
          <w:lang w:val="en-US"/>
        </w:rPr>
        <w:t>k</w:t>
      </w:r>
      <w:r w:rsidR="00BA1167" w:rsidRPr="00BA1167">
        <w:rPr>
          <w:spacing w:val="-3"/>
          <w:lang w:val="en-US"/>
        </w:rPr>
        <w:t>(</w:t>
      </w:r>
      <w:r w:rsidRPr="00BA1167">
        <w:rPr>
          <w:spacing w:val="-3"/>
          <w:lang w:val="en-US"/>
        </w:rPr>
        <w:t>279</w:t>
      </w:r>
      <w:r w:rsidR="00BA1167" w:rsidRPr="00BA1167">
        <w:rPr>
          <w:spacing w:val="-3"/>
          <w:lang w:val="en-US"/>
        </w:rPr>
        <w:t> K)</w:t>
      </w:r>
      <w:r>
        <w:rPr>
          <w:spacing w:val="-3"/>
          <w:lang w:val="en-US"/>
        </w:rPr>
        <w:t>(</w:t>
      </w:r>
      <w:r w:rsidR="006355DC">
        <w:rPr>
          <w:lang w:val="en-US"/>
        </w:rPr>
        <w:t>HO</w:t>
      </w:r>
      <w:r w:rsidRPr="00FE07A8">
        <w:rPr>
          <w:lang w:val="en-US"/>
        </w:rPr>
        <w:t xml:space="preserve"> + </w:t>
      </w:r>
      <w:r>
        <w:rPr>
          <w:spacing w:val="-3"/>
          <w:lang w:val="en-US"/>
        </w:rPr>
        <w:t>1</w:t>
      </w:r>
      <w:r>
        <w:rPr>
          <w:spacing w:val="-3"/>
          <w:lang w:val="en-US"/>
        </w:rPr>
        <w:noBreakHyphen/>
        <w:t>propanol) = (2.7</w:t>
      </w:r>
      <w:r w:rsidR="00BA1167">
        <w:rPr>
          <w:spacing w:val="-3"/>
          <w:lang w:val="en-US"/>
        </w:rPr>
        <w:t xml:space="preserve"> </w:t>
      </w:r>
      <w:r>
        <w:rPr>
          <w:spacing w:val="-3"/>
          <w:lang w:val="en-US"/>
        </w:rPr>
        <w:t>±0.7) × 10</w:t>
      </w:r>
      <w:r>
        <w:rPr>
          <w:spacing w:val="-3"/>
          <w:vertAlign w:val="superscript"/>
          <w:lang w:val="en-US"/>
        </w:rPr>
        <w:t>9</w:t>
      </w:r>
      <w:r>
        <w:rPr>
          <w:spacing w:val="-3"/>
          <w:lang w:val="en-US"/>
        </w:rPr>
        <w:t> M</w:t>
      </w:r>
      <w:r>
        <w:rPr>
          <w:spacing w:val="-3"/>
          <w:vertAlign w:val="superscript"/>
          <w:lang w:val="en-US"/>
        </w:rPr>
        <w:noBreakHyphen/>
        <w:t>1 </w:t>
      </w:r>
      <w:r>
        <w:rPr>
          <w:spacing w:val="-3"/>
          <w:lang w:val="en-US"/>
        </w:rPr>
        <w:t>s</w:t>
      </w:r>
      <w:r>
        <w:rPr>
          <w:spacing w:val="-3"/>
          <w:vertAlign w:val="superscript"/>
          <w:lang w:val="en-US"/>
        </w:rPr>
        <w:noBreakHyphen/>
        <w:t>1</w:t>
      </w:r>
      <w:r>
        <w:rPr>
          <w:spacing w:val="-3"/>
          <w:lang w:val="en-US"/>
        </w:rPr>
        <w:t xml:space="preserve"> (determined by Monod et al., 2005);</w:t>
      </w:r>
      <w:r w:rsidR="009A2B51">
        <w:rPr>
          <w:spacing w:val="-3"/>
          <w:lang w:val="en-US"/>
        </w:rPr>
        <w:t xml:space="preserve"> </w:t>
      </w:r>
      <w:r w:rsidR="006355DC">
        <w:rPr>
          <w:rFonts w:eastAsia="Symbol" w:cs="Symbol"/>
          <w:spacing w:val="-2"/>
          <w:lang w:val="en-GB"/>
        </w:rPr>
        <w:t>for the recalculation, the selected rate coefficient for the reference reaction (</w:t>
      </w:r>
      <w:r w:rsidR="006355DC">
        <w:rPr>
          <w:rFonts w:eastAsia="Symbol" w:cs="Symbol"/>
          <w:i/>
          <w:spacing w:val="-2"/>
          <w:lang w:val="en-GB"/>
        </w:rPr>
        <w:t>k</w:t>
      </w:r>
      <w:r w:rsidR="00BA1167" w:rsidRPr="00BA1167">
        <w:rPr>
          <w:spacing w:val="-3"/>
          <w:lang w:val="en-US"/>
        </w:rPr>
        <w:t>(279 K)</w:t>
      </w:r>
      <w:r w:rsidR="006355DC">
        <w:rPr>
          <w:rFonts w:eastAsia="Symbol" w:cs="Symbol"/>
          <w:i/>
          <w:spacing w:val="-2"/>
          <w:lang w:val="en-GB"/>
        </w:rPr>
        <w:t xml:space="preserve"> </w:t>
      </w:r>
      <w:r w:rsidR="006355DC">
        <w:rPr>
          <w:rFonts w:eastAsia="Symbol" w:cs="Symbol"/>
          <w:spacing w:val="-2"/>
          <w:lang w:val="en-GB"/>
        </w:rPr>
        <w:t xml:space="preserve">= </w:t>
      </w:r>
      <w:r w:rsidR="00BA1167">
        <w:rPr>
          <w:spacing w:val="-3"/>
          <w:lang w:val="en-GB"/>
        </w:rPr>
        <w:t>2.56</w:t>
      </w:r>
      <w:r w:rsidR="006355DC">
        <w:rPr>
          <w:spacing w:val="-3"/>
          <w:lang w:val="en-US"/>
        </w:rPr>
        <w:t> × 10</w:t>
      </w:r>
      <w:r w:rsidR="006355DC">
        <w:rPr>
          <w:spacing w:val="-3"/>
          <w:vertAlign w:val="superscript"/>
          <w:lang w:val="en-US"/>
        </w:rPr>
        <w:t>9</w:t>
      </w:r>
      <w:r w:rsidR="006355DC">
        <w:rPr>
          <w:spacing w:val="-3"/>
          <w:lang w:val="en-US"/>
        </w:rPr>
        <w:t> M</w:t>
      </w:r>
      <w:r w:rsidR="006355DC">
        <w:rPr>
          <w:spacing w:val="-3"/>
          <w:vertAlign w:val="superscript"/>
          <w:lang w:val="en-US"/>
        </w:rPr>
        <w:noBreakHyphen/>
        <w:t>1 </w:t>
      </w:r>
      <w:r w:rsidR="006355DC">
        <w:rPr>
          <w:spacing w:val="-3"/>
          <w:lang w:val="en-US"/>
        </w:rPr>
        <w:t>s</w:t>
      </w:r>
      <w:r w:rsidR="006355DC">
        <w:rPr>
          <w:spacing w:val="-3"/>
          <w:vertAlign w:val="superscript"/>
          <w:lang w:val="en-US"/>
        </w:rPr>
        <w:noBreakHyphen/>
        <w:t>1</w:t>
      </w:r>
      <w:r w:rsidR="006355DC">
        <w:rPr>
          <w:rFonts w:eastAsia="Symbol" w:cs="Symbol"/>
          <w:spacing w:val="-2"/>
          <w:lang w:val="en-GB"/>
        </w:rPr>
        <w:t>) has been used;</w:t>
      </w:r>
      <w:r w:rsidR="006355DC">
        <w:rPr>
          <w:spacing w:val="-3"/>
          <w:lang w:val="en-US"/>
        </w:rPr>
        <w:t xml:space="preserve"> </w:t>
      </w:r>
      <w:r w:rsidR="009A2B51">
        <w:rPr>
          <w:spacing w:val="-3"/>
          <w:lang w:val="en-US"/>
        </w:rPr>
        <w:t xml:space="preserve">experiments were performed in unbuffered solutions; </w:t>
      </w:r>
      <w:r w:rsidR="009A2B51">
        <w:rPr>
          <w:i/>
          <w:spacing w:val="-3"/>
          <w:lang w:val="en-US"/>
        </w:rPr>
        <w:t>c</w:t>
      </w:r>
      <w:r w:rsidR="009A2B51">
        <w:rPr>
          <w:spacing w:val="-3"/>
          <w:lang w:val="en-US"/>
        </w:rPr>
        <w:t>(H</w:t>
      </w:r>
      <w:r w:rsidR="009A2B51">
        <w:rPr>
          <w:spacing w:val="-3"/>
          <w:vertAlign w:val="subscript"/>
          <w:lang w:val="en-US"/>
        </w:rPr>
        <w:t>2</w:t>
      </w:r>
      <w:r w:rsidR="009A2B51">
        <w:rPr>
          <w:spacing w:val="-3"/>
          <w:lang w:val="en-US"/>
        </w:rPr>
        <w:t>O</w:t>
      </w:r>
      <w:r w:rsidR="009A2B51">
        <w:rPr>
          <w:spacing w:val="-3"/>
          <w:vertAlign w:val="subscript"/>
          <w:lang w:val="en-US"/>
        </w:rPr>
        <w:t>2</w:t>
      </w:r>
      <w:r w:rsidR="009A2B51">
        <w:rPr>
          <w:spacing w:val="-3"/>
          <w:lang w:val="en-US"/>
        </w:rPr>
        <w:t>) = 8.0 × 10</w:t>
      </w:r>
      <w:r w:rsidR="009A2B51">
        <w:rPr>
          <w:spacing w:val="-3"/>
          <w:vertAlign w:val="superscript"/>
          <w:lang w:val="en-US"/>
        </w:rPr>
        <w:noBreakHyphen/>
        <w:t>3</w:t>
      </w:r>
      <w:r w:rsidR="009A2B51">
        <w:rPr>
          <w:spacing w:val="-3"/>
          <w:lang w:val="en-US"/>
        </w:rPr>
        <w:t xml:space="preserve"> M, </w:t>
      </w:r>
      <w:r w:rsidR="009A2B51">
        <w:rPr>
          <w:i/>
          <w:spacing w:val="-3"/>
          <w:lang w:val="en-US"/>
        </w:rPr>
        <w:t>c</w:t>
      </w:r>
      <w:r w:rsidR="009A2B51">
        <w:rPr>
          <w:spacing w:val="-3"/>
          <w:lang w:val="en-US"/>
        </w:rPr>
        <w:t>(methacrolein) = 5.0 × 10</w:t>
      </w:r>
      <w:r w:rsidR="009A2B51">
        <w:rPr>
          <w:spacing w:val="-3"/>
          <w:vertAlign w:val="superscript"/>
          <w:lang w:val="en-US"/>
        </w:rPr>
        <w:noBreakHyphen/>
        <w:t>5</w:t>
      </w:r>
      <w:r w:rsidR="009A2B51">
        <w:rPr>
          <w:spacing w:val="-3"/>
          <w:lang w:val="en-US"/>
        </w:rPr>
        <w:t xml:space="preserve"> M, </w:t>
      </w:r>
      <w:r w:rsidR="009A2B51">
        <w:rPr>
          <w:i/>
          <w:spacing w:val="-3"/>
          <w:lang w:val="en-US"/>
        </w:rPr>
        <w:t>c</w:t>
      </w:r>
      <w:r w:rsidR="009A2B51">
        <w:rPr>
          <w:spacing w:val="-3"/>
          <w:lang w:val="en-US"/>
        </w:rPr>
        <w:t>(1-PrOH) = 1.0 × 10</w:t>
      </w:r>
      <w:r w:rsidR="009A2B51">
        <w:rPr>
          <w:spacing w:val="-3"/>
          <w:vertAlign w:val="superscript"/>
          <w:lang w:val="en-US"/>
        </w:rPr>
        <w:noBreakHyphen/>
        <w:t>4</w:t>
      </w:r>
      <w:r w:rsidR="009A2B51">
        <w:rPr>
          <w:spacing w:val="-3"/>
          <w:lang w:val="en-US"/>
        </w:rPr>
        <w:t xml:space="preserve"> M; </w:t>
      </w:r>
    </w:p>
    <w:p w:rsidR="00877C06" w:rsidRPr="00FE07A8" w:rsidRDefault="00877C06" w:rsidP="00272284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FC186E" w:rsidRPr="002D3B7E" w:rsidRDefault="002D6DF0" w:rsidP="00F53C56">
      <w:pPr>
        <w:numPr>
          <w:ilvl w:val="0"/>
          <w:numId w:val="12"/>
        </w:num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  <w:r w:rsidRPr="00FE07A8">
        <w:rPr>
          <w:spacing w:val="-2"/>
          <w:lang w:val="en-US"/>
        </w:rPr>
        <w:t xml:space="preserve">Radicals generated </w:t>
      </w:r>
      <w:r w:rsidR="00740815">
        <w:rPr>
          <w:spacing w:val="-2"/>
          <w:lang w:val="en-US"/>
        </w:rPr>
        <w:t xml:space="preserve">by photolysis </w:t>
      </w:r>
      <w:r w:rsidR="00740815" w:rsidRPr="00FE07A8">
        <w:rPr>
          <w:spacing w:val="-2"/>
          <w:lang w:val="en-US"/>
        </w:rPr>
        <w:t>of H</w:t>
      </w:r>
      <w:r w:rsidR="00740815" w:rsidRPr="00FE07A8">
        <w:rPr>
          <w:spacing w:val="-2"/>
          <w:vertAlign w:val="subscript"/>
          <w:lang w:val="en-US"/>
        </w:rPr>
        <w:t>2</w:t>
      </w:r>
      <w:r w:rsidR="00740815" w:rsidRPr="00FE07A8">
        <w:rPr>
          <w:spacing w:val="-2"/>
          <w:lang w:val="en-US"/>
        </w:rPr>
        <w:t>O</w:t>
      </w:r>
      <w:r w:rsidR="00740815" w:rsidRPr="00FE07A8">
        <w:rPr>
          <w:spacing w:val="-2"/>
          <w:vertAlign w:val="subscript"/>
          <w:lang w:val="en-US"/>
        </w:rPr>
        <w:t>2</w:t>
      </w:r>
      <w:r w:rsidR="00740815" w:rsidRPr="00FE07A8">
        <w:rPr>
          <w:spacing w:val="-2"/>
          <w:lang w:val="en-US"/>
        </w:rPr>
        <w:t xml:space="preserve"> solution at 248 nm</w:t>
      </w:r>
      <w:r w:rsidR="00740815">
        <w:rPr>
          <w:spacing w:val="-2"/>
          <w:lang w:val="en-US"/>
        </w:rPr>
        <w:t xml:space="preserve">, </w:t>
      </w:r>
      <w:r w:rsidR="00740815" w:rsidRPr="00FE07A8">
        <w:rPr>
          <w:spacing w:val="-2"/>
          <w:lang w:val="en-US"/>
        </w:rPr>
        <w:t>for detection,</w:t>
      </w:r>
      <w:r w:rsidR="002B1877">
        <w:rPr>
          <w:spacing w:val="-2"/>
          <w:lang w:val="en-US"/>
        </w:rPr>
        <w:t xml:space="preserve"> a</w:t>
      </w:r>
      <w:r w:rsidR="00740815" w:rsidRPr="00FE07A8">
        <w:rPr>
          <w:spacing w:val="-2"/>
          <w:lang w:val="en-US"/>
        </w:rPr>
        <w:t xml:space="preserve"> </w:t>
      </w:r>
      <w:proofErr w:type="spellStart"/>
      <w:r w:rsidR="00740815" w:rsidRPr="00FE07A8">
        <w:rPr>
          <w:spacing w:val="-2"/>
          <w:lang w:val="en-US"/>
        </w:rPr>
        <w:t>cw</w:t>
      </w:r>
      <w:proofErr w:type="spellEnd"/>
      <w:r w:rsidR="00740815" w:rsidRPr="00FE07A8">
        <w:rPr>
          <w:spacing w:val="-2"/>
          <w:lang w:val="en-US"/>
        </w:rPr>
        <w:t xml:space="preserve"> laser was used at 407 nm</w:t>
      </w:r>
      <w:r w:rsidR="00740815">
        <w:rPr>
          <w:spacing w:val="-2"/>
          <w:lang w:val="en-US"/>
        </w:rPr>
        <w:t xml:space="preserve"> </w:t>
      </w:r>
      <w:r w:rsidR="002B1877">
        <w:rPr>
          <w:spacing w:val="-2"/>
          <w:lang w:val="en-US"/>
        </w:rPr>
        <w:t>(</w:t>
      </w:r>
      <w:r w:rsidRPr="00FE07A8">
        <w:rPr>
          <w:spacing w:val="-2"/>
          <w:lang w:val="en-US"/>
        </w:rPr>
        <w:t>laser flash photolysis</w:t>
      </w:r>
      <w:r w:rsidR="00203B6A">
        <w:rPr>
          <w:spacing w:val="-2"/>
          <w:lang w:val="en-US"/>
        </w:rPr>
        <w:t xml:space="preserve"> </w:t>
      </w:r>
      <w:r w:rsidR="00740815">
        <w:rPr>
          <w:spacing w:val="-2"/>
          <w:lang w:val="en-US"/>
        </w:rPr>
        <w:t xml:space="preserve">long-path absorption </w:t>
      </w:r>
      <w:r w:rsidR="002B1877">
        <w:rPr>
          <w:spacing w:val="-2"/>
          <w:lang w:val="en-US"/>
        </w:rPr>
        <w:t xml:space="preserve">setup </w:t>
      </w:r>
      <w:r w:rsidR="00203B6A">
        <w:rPr>
          <w:spacing w:val="-2"/>
          <w:lang w:val="en-US"/>
        </w:rPr>
        <w:t>(LP</w:t>
      </w:r>
      <w:r w:rsidR="00740815">
        <w:rPr>
          <w:spacing w:val="-2"/>
          <w:lang w:val="en-US"/>
        </w:rPr>
        <w:t>-LPA</w:t>
      </w:r>
      <w:r w:rsidR="00203B6A">
        <w:rPr>
          <w:spacing w:val="-2"/>
          <w:lang w:val="en-US"/>
        </w:rPr>
        <w:t>)</w:t>
      </w:r>
      <w:r w:rsidR="002B1877">
        <w:rPr>
          <w:spacing w:val="-2"/>
          <w:lang w:val="en-US"/>
        </w:rPr>
        <w:t>)</w:t>
      </w:r>
      <w:r w:rsidR="00566D71" w:rsidRPr="00FE07A8">
        <w:rPr>
          <w:spacing w:val="-2"/>
          <w:lang w:val="en-US"/>
        </w:rPr>
        <w:t xml:space="preserve">; reference reaction: </w:t>
      </w:r>
      <w:r w:rsidR="006355DC">
        <w:rPr>
          <w:lang w:val="en-US"/>
        </w:rPr>
        <w:t>HO</w:t>
      </w:r>
      <w:r w:rsidR="00566D71" w:rsidRPr="00FE07A8">
        <w:rPr>
          <w:lang w:val="en-US"/>
        </w:rPr>
        <w:t xml:space="preserve"> + SCN</w:t>
      </w:r>
      <w:r w:rsidR="00566D71" w:rsidRPr="00FE07A8">
        <w:rPr>
          <w:vertAlign w:val="superscript"/>
          <w:lang w:val="en-US"/>
        </w:rPr>
        <w:noBreakHyphen/>
      </w:r>
      <w:r w:rsidR="00566D71" w:rsidRPr="00FE07A8">
        <w:rPr>
          <w:lang w:val="en-US"/>
        </w:rPr>
        <w:t xml:space="preserve"> with</w:t>
      </w:r>
      <w:r w:rsidR="00D952FB" w:rsidRPr="00FE07A8">
        <w:rPr>
          <w:lang w:val="en-US"/>
        </w:rPr>
        <w:t xml:space="preserve"> ln </w:t>
      </w:r>
      <w:r w:rsidR="00D952FB" w:rsidRPr="00FE07A8">
        <w:rPr>
          <w:rFonts w:ascii="Times New Roman" w:hAnsi="Times New Roman" w:cs="Times New Roman"/>
          <w:bCs/>
          <w:i/>
          <w:iCs/>
          <w:lang w:val="en-US" w:eastAsia="en-CA"/>
        </w:rPr>
        <w:t>k</w:t>
      </w:r>
      <w:r w:rsidR="00D952FB" w:rsidRPr="00FE07A8">
        <w:rPr>
          <w:rFonts w:ascii="Times New Roman" w:hAnsi="Times New Roman" w:cs="Times New Roman"/>
          <w:bCs/>
          <w:iCs/>
          <w:lang w:val="en-US" w:eastAsia="en-CA"/>
        </w:rPr>
        <w:t>(T)</w:t>
      </w:r>
      <w:r w:rsidR="00D952FB" w:rsidRPr="00FE07A8">
        <w:rPr>
          <w:rFonts w:ascii="Times New Roman" w:hAnsi="Times New Roman" w:cs="Times New Roman"/>
          <w:bCs/>
          <w:i/>
          <w:iCs/>
          <w:lang w:val="en-US" w:eastAsia="en-CA"/>
        </w:rPr>
        <w:t xml:space="preserve"> = </w:t>
      </w:r>
      <w:r w:rsidR="00D952FB" w:rsidRPr="00FE07A8">
        <w:rPr>
          <w:rFonts w:ascii="Times New Roman" w:hAnsi="Times New Roman" w:cs="Times New Roman"/>
          <w:bCs/>
          <w:lang w:val="en-US" w:eastAsia="en-CA"/>
        </w:rPr>
        <w:t>(29.614±0.636) - (1900±</w:t>
      </w:r>
      <w:r w:rsidR="00D952FB" w:rsidRPr="00FE07A8">
        <w:rPr>
          <w:rFonts w:ascii="Times New Roman" w:hAnsi="Times New Roman" w:cs="Times New Roman"/>
          <w:bCs/>
          <w:iCs/>
          <w:lang w:val="en-US" w:eastAsia="en-CA"/>
        </w:rPr>
        <w:t>190)/T</w:t>
      </w:r>
      <w:r w:rsidR="00566D71" w:rsidRPr="00FE07A8">
        <w:rPr>
          <w:lang w:val="en-US"/>
        </w:rPr>
        <w:t> M</w:t>
      </w:r>
      <w:r w:rsidR="00566D71" w:rsidRPr="00FE07A8">
        <w:rPr>
          <w:vertAlign w:val="superscript"/>
          <w:lang w:val="en-US"/>
        </w:rPr>
        <w:noBreakHyphen/>
        <w:t>1</w:t>
      </w:r>
      <w:r w:rsidR="00566D71" w:rsidRPr="00FE07A8">
        <w:rPr>
          <w:lang w:val="en-US"/>
        </w:rPr>
        <w:t> s</w:t>
      </w:r>
      <w:r w:rsidR="00566D71" w:rsidRPr="00FE07A8">
        <w:rPr>
          <w:vertAlign w:val="superscript"/>
          <w:lang w:val="en-US"/>
        </w:rPr>
        <w:noBreakHyphen/>
        <w:t>1</w:t>
      </w:r>
      <w:r w:rsidR="00D952FB" w:rsidRPr="00FE07A8">
        <w:rPr>
          <w:lang w:val="en-US"/>
        </w:rPr>
        <w:t xml:space="preserve"> (according to Chin and Wine (1992))</w:t>
      </w:r>
      <w:r w:rsidR="00566D71" w:rsidRPr="00FE07A8">
        <w:rPr>
          <w:lang w:val="en-US"/>
        </w:rPr>
        <w:t>;</w:t>
      </w:r>
      <w:r w:rsidR="00D952FB" w:rsidRPr="00FE07A8">
        <w:rPr>
          <w:lang w:val="en-US"/>
        </w:rPr>
        <w:t xml:space="preserve"> </w:t>
      </w:r>
      <w:r w:rsidR="006355DC">
        <w:rPr>
          <w:rFonts w:eastAsia="Symbol" w:cs="Symbol"/>
          <w:spacing w:val="-2"/>
          <w:lang w:val="en-GB"/>
        </w:rPr>
        <w:t>for the recalculation, the selected temperature dependence by Zhu et al. (2003) has been used;</w:t>
      </w:r>
      <w:r w:rsidR="006355DC" w:rsidRPr="00FE07A8">
        <w:rPr>
          <w:i/>
          <w:lang w:val="en-US"/>
        </w:rPr>
        <w:t xml:space="preserve"> </w:t>
      </w:r>
      <w:r w:rsidR="00D952FB" w:rsidRPr="00FE07A8">
        <w:rPr>
          <w:i/>
          <w:lang w:val="en-US"/>
        </w:rPr>
        <w:t>c</w:t>
      </w:r>
      <w:r w:rsidR="00D952FB" w:rsidRPr="00FE07A8">
        <w:rPr>
          <w:lang w:val="en-US"/>
        </w:rPr>
        <w:t>(KSCN) = 1.59 × 10</w:t>
      </w:r>
      <w:r w:rsidR="00D952FB" w:rsidRPr="00FE07A8">
        <w:rPr>
          <w:vertAlign w:val="superscript"/>
          <w:lang w:val="en-US"/>
        </w:rPr>
        <w:noBreakHyphen/>
        <w:t>5</w:t>
      </w:r>
      <w:r w:rsidR="00D952FB" w:rsidRPr="00FE07A8">
        <w:rPr>
          <w:lang w:val="en-US"/>
        </w:rPr>
        <w:t xml:space="preserve"> M, </w:t>
      </w:r>
      <w:r w:rsidR="00D952FB" w:rsidRPr="00FE07A8">
        <w:rPr>
          <w:i/>
          <w:lang w:val="en-US"/>
        </w:rPr>
        <w:t>c</w:t>
      </w:r>
      <w:r w:rsidR="00D952FB" w:rsidRPr="00FE07A8">
        <w:rPr>
          <w:lang w:val="en-US"/>
        </w:rPr>
        <w:t>(H</w:t>
      </w:r>
      <w:r w:rsidR="00D952FB" w:rsidRPr="00FE07A8">
        <w:rPr>
          <w:vertAlign w:val="subscript"/>
          <w:lang w:val="en-US"/>
        </w:rPr>
        <w:t>2</w:t>
      </w:r>
      <w:r w:rsidR="00D952FB" w:rsidRPr="00FE07A8">
        <w:rPr>
          <w:lang w:val="en-US"/>
        </w:rPr>
        <w:t>O</w:t>
      </w:r>
      <w:r w:rsidR="00D952FB" w:rsidRPr="00FE07A8">
        <w:rPr>
          <w:vertAlign w:val="subscript"/>
          <w:lang w:val="en-US"/>
        </w:rPr>
        <w:t>2</w:t>
      </w:r>
      <w:r w:rsidR="00D952FB" w:rsidRPr="00FE07A8">
        <w:rPr>
          <w:lang w:val="en-US"/>
        </w:rPr>
        <w:t>) = 1</w:t>
      </w:r>
      <w:r w:rsidR="00AD57B5">
        <w:rPr>
          <w:lang w:val="en-US"/>
        </w:rPr>
        <w:t> </w:t>
      </w:r>
      <w:r w:rsidR="00D952FB" w:rsidRPr="00FE07A8">
        <w:rPr>
          <w:lang w:val="en-US"/>
        </w:rPr>
        <w:t>×</w:t>
      </w:r>
      <w:r w:rsidR="00AD57B5">
        <w:rPr>
          <w:lang w:val="en-US"/>
        </w:rPr>
        <w:t> </w:t>
      </w:r>
      <w:r w:rsidR="00D952FB" w:rsidRPr="00FE07A8">
        <w:rPr>
          <w:lang w:val="en-US"/>
        </w:rPr>
        <w:t>10</w:t>
      </w:r>
      <w:r w:rsidR="00D952FB" w:rsidRPr="00FE07A8">
        <w:rPr>
          <w:vertAlign w:val="superscript"/>
          <w:lang w:val="en-US"/>
        </w:rPr>
        <w:noBreakHyphen/>
        <w:t>4</w:t>
      </w:r>
      <w:r w:rsidR="00D952FB" w:rsidRPr="00FE07A8">
        <w:rPr>
          <w:lang w:val="en-US"/>
        </w:rPr>
        <w:t> M</w:t>
      </w:r>
      <w:r w:rsidR="00BB783C" w:rsidRPr="00FE07A8">
        <w:rPr>
          <w:lang w:val="en-US"/>
        </w:rPr>
        <w:t xml:space="preserve">; </w:t>
      </w:r>
      <w:r w:rsidR="0023124F" w:rsidRPr="00FE07A8">
        <w:rPr>
          <w:lang w:val="en-US"/>
        </w:rPr>
        <w:t xml:space="preserve">Arrhenius expression was calculated from the given </w:t>
      </w:r>
      <w:r w:rsidR="00FE07A8" w:rsidRPr="00FE07A8">
        <w:rPr>
          <w:lang w:val="en-US"/>
        </w:rPr>
        <w:t>activation</w:t>
      </w:r>
      <w:r w:rsidR="0023124F" w:rsidRPr="00FE07A8">
        <w:rPr>
          <w:lang w:val="en-US"/>
        </w:rPr>
        <w:t xml:space="preserve"> parameters</w:t>
      </w:r>
      <w:r w:rsidR="001A164B">
        <w:rPr>
          <w:lang w:val="en-US"/>
        </w:rPr>
        <w:t xml:space="preserve"> (e</w:t>
      </w:r>
      <w:r w:rsidR="001A164B" w:rsidRPr="00FE07A8">
        <w:rPr>
          <w:lang w:val="en-US"/>
        </w:rPr>
        <w:t>1)</w:t>
      </w:r>
      <w:r w:rsidR="0023124F" w:rsidRPr="00FE07A8">
        <w:rPr>
          <w:lang w:val="en-US"/>
        </w:rPr>
        <w:t>.</w:t>
      </w:r>
    </w:p>
    <w:p w:rsidR="002D3B7E" w:rsidRDefault="002D3B7E" w:rsidP="002D3B7E">
      <w:pPr>
        <w:pStyle w:val="Listenabsatz"/>
        <w:rPr>
          <w:spacing w:val="-3"/>
          <w:lang w:val="en-US"/>
        </w:rPr>
      </w:pPr>
    </w:p>
    <w:p w:rsidR="00A12788" w:rsidRPr="00FE07A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US"/>
        </w:rPr>
      </w:pPr>
    </w:p>
    <w:p w:rsidR="007F4C67" w:rsidRPr="00FE07A8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en-US" w:eastAsia="de-DE"/>
        </w:rPr>
      </w:pPr>
      <w:r w:rsidRPr="00FE07A8">
        <w:rPr>
          <w:rFonts w:ascii="Times New Roman" w:hAnsi="Times New Roman" w:cs="Times New Roman"/>
          <w:b/>
          <w:color w:val="000000"/>
          <w:lang w:val="en-US" w:eastAsia="de-DE"/>
        </w:rPr>
        <w:t>Preferred Values</w:t>
      </w:r>
    </w:p>
    <w:p w:rsidR="007F4C67" w:rsidRPr="00FE07A8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E07A8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E07A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FE07A8">
              <w:rPr>
                <w:rFonts w:ascii="Times New Roman" w:hAnsi="Times New Roman" w:cs="Times New Roman"/>
                <w:b/>
                <w:color w:val="000000"/>
                <w:lang w:val="en-US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E07A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FE07A8">
              <w:rPr>
                <w:rFonts w:ascii="Times New Roman" w:hAnsi="Times New Roman" w:cs="Times New Roman"/>
                <w:b/>
                <w:color w:val="000000"/>
                <w:lang w:val="en-US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E07A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FE07A8">
              <w:rPr>
                <w:rFonts w:ascii="Times New Roman" w:hAnsi="Times New Roman" w:cs="Times New Roman"/>
                <w:b/>
                <w:i/>
                <w:color w:val="000000"/>
                <w:lang w:val="en-US" w:eastAsia="de-DE"/>
              </w:rPr>
              <w:t>T</w:t>
            </w:r>
            <w:r w:rsidRPr="00FE07A8">
              <w:rPr>
                <w:rFonts w:ascii="Times New Roman" w:hAnsi="Times New Roman" w:cs="Times New Roman"/>
                <w:b/>
                <w:color w:val="000000"/>
                <w:lang w:val="en-US" w:eastAsia="de-DE"/>
              </w:rPr>
              <w:t>/K</w:t>
            </w:r>
          </w:p>
        </w:tc>
      </w:tr>
      <w:tr w:rsidR="007F4C67" w:rsidRPr="00FE07A8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E07A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E07A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E07A8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C54456" w:rsidRPr="00FE07A8" w:rsidTr="00604D2C">
        <w:tc>
          <w:tcPr>
            <w:tcW w:w="2059" w:type="dxa"/>
          </w:tcPr>
          <w:p w:rsidR="00C54456" w:rsidRPr="00FE07A8" w:rsidRDefault="00C54456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FE07A8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>k</w:t>
            </w:r>
            <w:r w:rsidRPr="00FE07A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/ L mol</w:t>
            </w:r>
            <w:r w:rsidRPr="00FE07A8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  <w:r w:rsidRPr="00FE07A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s</w:t>
            </w:r>
            <w:r w:rsidRPr="00FE07A8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</w:p>
        </w:tc>
        <w:tc>
          <w:tcPr>
            <w:tcW w:w="5069" w:type="dxa"/>
          </w:tcPr>
          <w:p w:rsidR="00C54456" w:rsidRPr="00FE07A8" w:rsidRDefault="00180D34" w:rsidP="00536487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lang w:val="en-US"/>
              </w:rPr>
              <w:t>9.</w:t>
            </w:r>
            <w:r w:rsidR="00E26FA5">
              <w:rPr>
                <w:rFonts w:eastAsia="Symbol" w:cs="Symbol"/>
                <w:lang w:val="en-US"/>
              </w:rPr>
              <w:t>68 </w:t>
            </w:r>
            <w:r>
              <w:rPr>
                <w:rFonts w:eastAsia="Symbol" w:cs="Symbol"/>
                <w:lang w:val="en-US"/>
              </w:rPr>
              <w:t>× 10</w:t>
            </w:r>
            <w:r w:rsidRPr="00E13A5A">
              <w:rPr>
                <w:rFonts w:eastAsia="Symbol" w:cs="Symbol"/>
                <w:vertAlign w:val="superscript"/>
                <w:lang w:val="en-US"/>
              </w:rPr>
              <w:t>9</w:t>
            </w:r>
          </w:p>
        </w:tc>
        <w:tc>
          <w:tcPr>
            <w:tcW w:w="2175" w:type="dxa"/>
          </w:tcPr>
          <w:p w:rsidR="00C54456" w:rsidRPr="00FE07A8" w:rsidRDefault="00C54456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FE07A8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5B70B5" w:rsidRPr="00FE07A8" w:rsidTr="00BC1D54">
        <w:tc>
          <w:tcPr>
            <w:tcW w:w="2059" w:type="dxa"/>
          </w:tcPr>
          <w:p w:rsidR="005B70B5" w:rsidRPr="00FE07A8" w:rsidRDefault="005B70B5" w:rsidP="00BC1D5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</w:pPr>
          </w:p>
        </w:tc>
        <w:tc>
          <w:tcPr>
            <w:tcW w:w="5069" w:type="dxa"/>
          </w:tcPr>
          <w:p w:rsidR="005B70B5" w:rsidRDefault="005B70B5" w:rsidP="00BC1D54">
            <w:pPr>
              <w:suppressAutoHyphens/>
              <w:spacing w:after="120" w:line="263" w:lineRule="atLeast"/>
              <w:jc w:val="center"/>
              <w:rPr>
                <w:rFonts w:eastAsia="Symbol" w:cs="Symbol"/>
                <w:lang w:val="en-US"/>
              </w:rPr>
            </w:pPr>
          </w:p>
        </w:tc>
        <w:tc>
          <w:tcPr>
            <w:tcW w:w="2175" w:type="dxa"/>
          </w:tcPr>
          <w:p w:rsidR="005B70B5" w:rsidRPr="00FE07A8" w:rsidRDefault="005B70B5" w:rsidP="00BC1D5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  <w:tr w:rsidR="005B70B5" w:rsidRPr="00FE07A8" w:rsidTr="00BC1D54">
        <w:tc>
          <w:tcPr>
            <w:tcW w:w="2059" w:type="dxa"/>
          </w:tcPr>
          <w:p w:rsidR="005B70B5" w:rsidRPr="00FE07A8" w:rsidRDefault="005B70B5" w:rsidP="00BC1D54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de-DE"/>
              </w:rPr>
            </w:pPr>
            <w:r w:rsidRPr="00FE07A8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>k</w:t>
            </w:r>
            <w:r w:rsidRPr="00FE07A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/ L mol</w:t>
            </w:r>
            <w:r w:rsidRPr="00FE07A8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  <w:r w:rsidRPr="00FE07A8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s</w:t>
            </w:r>
            <w:r w:rsidRPr="00FE07A8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-1</w:t>
            </w:r>
          </w:p>
        </w:tc>
        <w:tc>
          <w:tcPr>
            <w:tcW w:w="5069" w:type="dxa"/>
          </w:tcPr>
          <w:p w:rsidR="005B70B5" w:rsidRPr="005B70B5" w:rsidRDefault="00E26FA5" w:rsidP="00180D34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eastAsia="Symbol" w:cs="Symbol"/>
                <w:lang w:val="en-US"/>
              </w:rPr>
              <w:t>1.98</w:t>
            </w:r>
            <w:r w:rsidR="005B70B5" w:rsidRPr="00FE07A8">
              <w:rPr>
                <w:rFonts w:eastAsia="Symbol" w:cs="Symbol"/>
                <w:lang w:val="en-US"/>
              </w:rPr>
              <w:t> </w:t>
            </w:r>
            <w:r w:rsidR="005B70B5" w:rsidRPr="00FE07A8">
              <w:rPr>
                <w:rFonts w:ascii="Symbol" w:eastAsia="Symbol" w:hAnsi="Symbol" w:cs="Symbol"/>
                <w:spacing w:val="-3"/>
                <w:lang w:val="en-US"/>
              </w:rPr>
              <w:t></w:t>
            </w:r>
            <w:r w:rsidR="005B70B5" w:rsidRPr="00FE07A8">
              <w:rPr>
                <w:rFonts w:eastAsia="Symbol" w:cs="Symbol"/>
                <w:spacing w:val="-2"/>
                <w:lang w:val="en-US"/>
              </w:rPr>
              <w:t> </w:t>
            </w:r>
            <w:r w:rsidR="005B70B5" w:rsidRPr="00FE07A8">
              <w:rPr>
                <w:spacing w:val="-2"/>
                <w:lang w:val="en-US"/>
              </w:rPr>
              <w:t>10</w:t>
            </w:r>
            <w:r w:rsidR="00536487">
              <w:rPr>
                <w:spacing w:val="-2"/>
                <w:vertAlign w:val="superscript"/>
                <w:lang w:val="en-US"/>
              </w:rPr>
              <w:t>12</w:t>
            </w:r>
            <w:r w:rsidR="005B70B5">
              <w:rPr>
                <w:spacing w:val="-2"/>
                <w:lang w:val="en-US"/>
              </w:rPr>
              <w:t xml:space="preserve"> </w:t>
            </w:r>
            <w:proofErr w:type="gramStart"/>
            <w:r w:rsidR="005B70B5">
              <w:rPr>
                <w:spacing w:val="-2"/>
                <w:lang w:val="en-US"/>
              </w:rPr>
              <w:t>exp[</w:t>
            </w:r>
            <w:proofErr w:type="gramEnd"/>
            <w:r w:rsidR="005B70B5">
              <w:rPr>
                <w:spacing w:val="-2"/>
                <w:lang w:val="en-US"/>
              </w:rPr>
              <w:t>-(</w:t>
            </w:r>
            <w:r>
              <w:rPr>
                <w:spacing w:val="-2"/>
                <w:lang w:val="en-US"/>
              </w:rPr>
              <w:t>1600</w:t>
            </w:r>
            <w:r w:rsidR="005B70B5">
              <w:rPr>
                <w:spacing w:val="-2"/>
                <w:lang w:val="en-US"/>
              </w:rPr>
              <w:t>)/T]</w:t>
            </w:r>
          </w:p>
        </w:tc>
        <w:tc>
          <w:tcPr>
            <w:tcW w:w="2175" w:type="dxa"/>
          </w:tcPr>
          <w:p w:rsidR="005B70B5" w:rsidRPr="00FE07A8" w:rsidRDefault="005B70B5" w:rsidP="005B70B5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FE07A8">
              <w:rPr>
                <w:rFonts w:ascii="Times New Roman" w:hAnsi="Times New Roman" w:cs="Times New Roman"/>
                <w:color w:val="000000"/>
                <w:lang w:val="en-US" w:eastAsia="de-DE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7</w:t>
            </w:r>
            <w:r w:rsidRPr="00FE07A8">
              <w:rPr>
                <w:rFonts w:ascii="Times New Roman" w:hAnsi="Times New Roman" w:cs="Times New Roman"/>
                <w:color w:val="000000"/>
                <w:lang w:val="en-US" w:eastAsia="de-DE"/>
              </w:rPr>
              <w:t>8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- 318</w:t>
            </w:r>
          </w:p>
        </w:tc>
      </w:tr>
      <w:tr w:rsidR="00C54456" w:rsidRPr="005B70B5" w:rsidTr="00604D2C">
        <w:tc>
          <w:tcPr>
            <w:tcW w:w="2059" w:type="dxa"/>
          </w:tcPr>
          <w:p w:rsidR="00C54456" w:rsidRPr="005B70B5" w:rsidRDefault="00C54456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C54456" w:rsidRPr="005B70B5" w:rsidRDefault="00C54456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C54456" w:rsidRPr="005B70B5" w:rsidRDefault="00C54456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7F4C67" w:rsidRPr="005B70B5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5B70B5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5B70B5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5B70B5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B70B5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B70B5">
              <w:rPr>
                <w:rFonts w:ascii="Times New Roman" w:hAnsi="Times New Roman" w:cs="Times New Roman"/>
                <w:color w:val="000000"/>
                <w:lang w:val="en-US" w:eastAsia="de-DE"/>
              </w:rPr>
              <w:t>Δ log</w:t>
            </w:r>
            <w:r w:rsidRPr="005B70B5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B70B5" w:rsidRDefault="005B70B5" w:rsidP="00FD42C5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DE723A">
              <w:rPr>
                <w:rFonts w:ascii="Times New Roman" w:hAnsi="Times New Roman" w:cs="Times New Roman"/>
                <w:color w:val="000000"/>
                <w:lang w:val="en-US" w:eastAsia="de-DE"/>
              </w:rPr>
              <w:t>24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B70B5" w:rsidRDefault="005B70B5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7F4C67" w:rsidRPr="005B70B5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B70B5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5B70B5">
              <w:rPr>
                <w:rFonts w:ascii="Times New Roman" w:hAnsi="Times New Roman" w:cs="Times New Roman"/>
                <w:color w:val="000000"/>
                <w:lang w:val="en-US" w:eastAsia="de-DE"/>
              </w:rPr>
              <w:t>Δ E</w:t>
            </w:r>
            <w:r w:rsidRPr="005B70B5">
              <w:rPr>
                <w:rFonts w:ascii="Times New Roman" w:hAnsi="Times New Roman" w:cs="Times New Roman"/>
                <w:color w:val="000000"/>
                <w:vertAlign w:val="subscript"/>
                <w:lang w:val="en-US" w:eastAsia="de-DE"/>
              </w:rPr>
              <w:t>A</w:t>
            </w:r>
            <w:r w:rsidRPr="005B70B5">
              <w:rPr>
                <w:rFonts w:ascii="Times New Roman" w:hAnsi="Times New Roman" w:cs="Times New Roman"/>
                <w:color w:val="000000"/>
                <w:lang w:val="en-US" w:eastAsia="de-DE"/>
              </w:rPr>
              <w:t>/R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B70B5" w:rsidRDefault="005B70B5" w:rsidP="00180D34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</w:t>
            </w:r>
            <w:r w:rsidR="00180D34">
              <w:rPr>
                <w:rFonts w:ascii="Times New Roman" w:hAnsi="Times New Roman" w:cs="Times New Roman"/>
                <w:color w:val="000000"/>
                <w:lang w:val="en-US" w:eastAsia="de-DE"/>
              </w:rPr>
              <w:t>400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5B70B5" w:rsidRDefault="005B70B5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278 - 318</w:t>
            </w:r>
          </w:p>
        </w:tc>
      </w:tr>
    </w:tbl>
    <w:p w:rsidR="007F4C67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882CB2" w:rsidRDefault="00882CB2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882CB2" w:rsidRDefault="00882CB2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E07A8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E07A8">
        <w:rPr>
          <w:rFonts w:ascii="Times New Roman" w:hAnsi="Times New Roman" w:cs="Times New Roman"/>
          <w:i/>
          <w:color w:val="000000"/>
          <w:lang w:val="en-US" w:eastAsia="de-DE"/>
        </w:rPr>
        <w:lastRenderedPageBreak/>
        <w:t>Comments on Preferred Values</w:t>
      </w:r>
    </w:p>
    <w:p w:rsidR="00450818" w:rsidRPr="00BC1D54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DE723A" w:rsidRPr="005B70B5" w:rsidRDefault="00BC1D54" w:rsidP="0042477E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Data from 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>Buxton et al. (2000),</w:t>
      </w:r>
      <w:r w:rsidR="005309A7"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proofErr w:type="spellStart"/>
      <w:r w:rsidR="005309A7">
        <w:rPr>
          <w:rFonts w:ascii="Times New Roman" w:eastAsia="Symbol" w:hAnsi="Times New Roman" w:cs="Times New Roman"/>
          <w:color w:val="000000"/>
          <w:lang w:val="en-GB" w:eastAsia="de-DE"/>
        </w:rPr>
        <w:t>Szeremeta</w:t>
      </w:r>
      <w:proofErr w:type="spellEnd"/>
      <w:r w:rsidR="005309A7">
        <w:rPr>
          <w:rFonts w:ascii="Times New Roman" w:eastAsia="Symbol" w:hAnsi="Times New Roman" w:cs="Times New Roman"/>
          <w:color w:val="000000"/>
          <w:lang w:val="en-GB" w:eastAsia="de-DE"/>
        </w:rPr>
        <w:t xml:space="preserve"> et al. (2007),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</w:t>
      </w:r>
      <w:proofErr w:type="spellStart"/>
      <w:r>
        <w:rPr>
          <w:rFonts w:ascii="Times New Roman" w:eastAsia="Symbol" w:hAnsi="Times New Roman" w:cs="Times New Roman"/>
          <w:color w:val="000000"/>
          <w:lang w:val="en-GB" w:eastAsia="de-DE"/>
        </w:rPr>
        <w:t>Gligorovski</w:t>
      </w:r>
      <w:proofErr w:type="spellEnd"/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et al. (2009), Liu et al. (</w:t>
      </w:r>
      <w:r w:rsidR="005309A7">
        <w:rPr>
          <w:rFonts w:ascii="Times New Roman" w:eastAsia="Symbol" w:hAnsi="Times New Roman" w:cs="Times New Roman"/>
          <w:color w:val="000000"/>
          <w:lang w:val="en-GB" w:eastAsia="de-DE"/>
        </w:rPr>
        <w:t>2009)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and </w:t>
      </w:r>
      <w:proofErr w:type="spellStart"/>
      <w:r>
        <w:rPr>
          <w:rFonts w:ascii="Times New Roman" w:eastAsia="Symbol" w:hAnsi="Times New Roman" w:cs="Times New Roman"/>
          <w:color w:val="000000"/>
          <w:lang w:val="en-GB" w:eastAsia="de-DE"/>
        </w:rPr>
        <w:t>Schoene</w:t>
      </w:r>
      <w:proofErr w:type="spellEnd"/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et al. (2014) have been used for regression.</w:t>
      </w:r>
      <w:r w:rsidR="00E13A5A">
        <w:rPr>
          <w:rFonts w:ascii="Times New Roman" w:eastAsia="Symbol" w:hAnsi="Times New Roman" w:cs="Times New Roman"/>
          <w:color w:val="000000"/>
          <w:lang w:val="en-GB" w:eastAsia="de-DE"/>
        </w:rPr>
        <w:t xml:space="preserve"> Both the temperature dependent and the room temperature data show considerable scatter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 xml:space="preserve"> around a factor of two</w:t>
      </w:r>
      <w:r w:rsidR="00E13A5A">
        <w:rPr>
          <w:rFonts w:ascii="Times New Roman" w:eastAsia="Symbol" w:hAnsi="Times New Roman" w:cs="Times New Roman"/>
          <w:color w:val="000000"/>
          <w:lang w:val="en-GB" w:eastAsia="de-DE"/>
        </w:rPr>
        <w:t>.</w:t>
      </w:r>
      <w:r w:rsidR="00E26FA5">
        <w:rPr>
          <w:rFonts w:ascii="Times New Roman" w:eastAsia="Symbol" w:hAnsi="Times New Roman" w:cs="Times New Roman"/>
          <w:color w:val="000000"/>
          <w:lang w:val="en-GB" w:eastAsia="de-DE"/>
        </w:rPr>
        <w:t xml:space="preserve"> While the T dependent determination by </w:t>
      </w:r>
      <w:proofErr w:type="spellStart"/>
      <w:r w:rsidR="00E26FA5">
        <w:rPr>
          <w:rFonts w:ascii="Times New Roman" w:eastAsia="Symbol" w:hAnsi="Times New Roman" w:cs="Times New Roman"/>
          <w:color w:val="000000"/>
          <w:lang w:val="en-GB" w:eastAsia="de-DE"/>
        </w:rPr>
        <w:t>Gligorovski</w:t>
      </w:r>
      <w:proofErr w:type="spellEnd"/>
      <w:r w:rsidR="00E26FA5">
        <w:rPr>
          <w:rFonts w:ascii="Times New Roman" w:eastAsia="Symbol" w:hAnsi="Times New Roman" w:cs="Times New Roman"/>
          <w:color w:val="000000"/>
          <w:lang w:val="en-GB" w:eastAsia="de-DE"/>
        </w:rPr>
        <w:t xml:space="preserve"> et al. (2009) indicate a higher rate coefficient, the directly observed data from Buxton et al. (2000) as well as 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 xml:space="preserve">the rate coefficient determined by Liu et al. (2009) agree </w:t>
      </w:r>
      <w:r w:rsidR="00882CB2">
        <w:rPr>
          <w:rFonts w:ascii="Times New Roman" w:eastAsia="Symbol" w:hAnsi="Times New Roman" w:cs="Times New Roman"/>
          <w:color w:val="000000"/>
          <w:lang w:val="en-GB" w:eastAsia="de-DE"/>
        </w:rPr>
        <w:t xml:space="preserve">quite 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 xml:space="preserve">well with the T dependences from </w:t>
      </w:r>
      <w:proofErr w:type="spellStart"/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>Szeremeta</w:t>
      </w:r>
      <w:proofErr w:type="spellEnd"/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 xml:space="preserve"> et al. (2007) and </w:t>
      </w:r>
      <w:proofErr w:type="spellStart"/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>Sch</w:t>
      </w:r>
      <w:proofErr w:type="spellEnd"/>
      <w:r w:rsidR="00DE723A" w:rsidRPr="00DE723A">
        <w:rPr>
          <w:color w:val="000000"/>
          <w:lang w:val="en-US" w:eastAsia="en-CA"/>
        </w:rPr>
        <w:t>ö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 xml:space="preserve">ne et al. (2014). </w:t>
      </w:r>
      <w:r w:rsidR="00882CB2">
        <w:rPr>
          <w:rFonts w:ascii="Times New Roman" w:eastAsia="Symbol" w:hAnsi="Times New Roman" w:cs="Times New Roman"/>
          <w:color w:val="000000"/>
          <w:lang w:val="en-GB" w:eastAsia="de-DE"/>
        </w:rPr>
        <w:t xml:space="preserve">For the recommended rate constant as a function of temperature, the 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>mean of all determinations is suggested. The estimated uncertainty is</w:t>
      </w:r>
      <w:r w:rsidR="00882CB2">
        <w:rPr>
          <w:rFonts w:ascii="Times New Roman" w:eastAsia="Symbol" w:hAnsi="Times New Roman" w:cs="Times New Roman"/>
          <w:color w:val="000000"/>
          <w:lang w:val="en-GB" w:eastAsia="de-DE"/>
        </w:rPr>
        <w:t xml:space="preserve"> estimated 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 xml:space="preserve">as </w:t>
      </w:r>
      <w:r w:rsidR="00DE723A" w:rsidRPr="005B70B5">
        <w:rPr>
          <w:rFonts w:ascii="Times New Roman" w:hAnsi="Times New Roman" w:cs="Times New Roman"/>
          <w:color w:val="000000"/>
          <w:lang w:val="en-US" w:eastAsia="de-DE"/>
        </w:rPr>
        <w:t>Δ log</w:t>
      </w:r>
      <w:r w:rsidR="00DE723A" w:rsidRPr="005B70B5">
        <w:rPr>
          <w:rFonts w:ascii="Times New Roman" w:hAnsi="Times New Roman" w:cs="Times New Roman"/>
          <w:i/>
          <w:color w:val="000000"/>
          <w:lang w:val="en-US" w:eastAsia="de-DE"/>
        </w:rPr>
        <w:t xml:space="preserve"> k</w:t>
      </w:r>
      <w:r w:rsidR="00DE723A" w:rsidRPr="00DE723A">
        <w:rPr>
          <w:rFonts w:ascii="Times New Roman" w:hAnsi="Times New Roman" w:cs="Times New Roman"/>
          <w:color w:val="000000"/>
          <w:lang w:val="en-US" w:eastAsia="de-DE"/>
        </w:rPr>
        <w:t> </w:t>
      </w:r>
      <w:r w:rsidR="00DE723A">
        <w:rPr>
          <w:rFonts w:ascii="Times New Roman" w:hAnsi="Times New Roman" w:cs="Times New Roman"/>
          <w:color w:val="000000"/>
          <w:lang w:val="en-US" w:eastAsia="de-DE"/>
        </w:rPr>
        <w:t>= ±0.24 or ±50%.</w:t>
      </w:r>
    </w:p>
    <w:p w:rsidR="00BC1D54" w:rsidRPr="00BC1D54" w:rsidRDefault="00BC1D54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US"/>
        </w:rPr>
      </w:pPr>
    </w:p>
    <w:p w:rsidR="00821651" w:rsidRPr="00FE07A8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US"/>
        </w:rPr>
      </w:pPr>
      <w:r w:rsidRPr="00FE07A8">
        <w:rPr>
          <w:b/>
          <w:spacing w:val="-3"/>
          <w:lang w:val="en-US"/>
        </w:rPr>
        <w:t>References</w:t>
      </w:r>
    </w:p>
    <w:p w:rsidR="00C71DC0" w:rsidRDefault="00C71DC0" w:rsidP="00C71DC0">
      <w:pPr>
        <w:jc w:val="both"/>
        <w:rPr>
          <w:color w:val="000000"/>
          <w:lang w:val="en-CA" w:eastAsia="en-CA"/>
        </w:rPr>
      </w:pPr>
    </w:p>
    <w:p w:rsidR="00C71DC0" w:rsidRPr="00C71DC0" w:rsidRDefault="00C71DC0" w:rsidP="00C71DC0">
      <w:pPr>
        <w:jc w:val="both"/>
        <w:rPr>
          <w:color w:val="000000"/>
          <w:lang w:val="en-CA" w:eastAsia="en-CA"/>
        </w:rPr>
      </w:pPr>
      <w:r w:rsidRPr="00C71DC0">
        <w:rPr>
          <w:color w:val="000000"/>
          <w:lang w:val="en-CA" w:eastAsia="en-CA"/>
        </w:rPr>
        <w:t>Buxton, G. V., Salmon, G. A. and Williams, J. E.: J. Atmos. Chem., 36(2), 111-134, 2000.</w:t>
      </w:r>
    </w:p>
    <w:p w:rsidR="00AD1246" w:rsidRPr="00FE07A8" w:rsidRDefault="00AD1246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D952FB" w:rsidRPr="00FE07A8" w:rsidRDefault="00D952FB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FE07A8">
        <w:rPr>
          <w:spacing w:val="-3"/>
          <w:lang w:val="en-US"/>
        </w:rPr>
        <w:t xml:space="preserve">Chin, M., and Wine, P. H: J. </w:t>
      </w:r>
      <w:proofErr w:type="spellStart"/>
      <w:r w:rsidRPr="00FE07A8">
        <w:rPr>
          <w:spacing w:val="-3"/>
          <w:lang w:val="en-US"/>
        </w:rPr>
        <w:t>Photochem</w:t>
      </w:r>
      <w:proofErr w:type="spellEnd"/>
      <w:r w:rsidRPr="00FE07A8">
        <w:rPr>
          <w:spacing w:val="-3"/>
          <w:lang w:val="en-US"/>
        </w:rPr>
        <w:t xml:space="preserve">. </w:t>
      </w:r>
      <w:proofErr w:type="spellStart"/>
      <w:r w:rsidRPr="00FE07A8">
        <w:rPr>
          <w:spacing w:val="-3"/>
          <w:lang w:val="en-US"/>
        </w:rPr>
        <w:t>Photobiol</w:t>
      </w:r>
      <w:proofErr w:type="spellEnd"/>
      <w:r w:rsidRPr="00FE07A8">
        <w:rPr>
          <w:spacing w:val="-3"/>
          <w:lang w:val="en-US"/>
        </w:rPr>
        <w:t>., A, 69(1), 17-25, 1992.</w:t>
      </w:r>
    </w:p>
    <w:p w:rsidR="00D952FB" w:rsidRDefault="00D952FB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C71DC0" w:rsidRPr="00C71DC0" w:rsidRDefault="00C71DC0" w:rsidP="00C71DC0">
      <w:pPr>
        <w:jc w:val="both"/>
        <w:rPr>
          <w:rFonts w:ascii="Times New Roman" w:hAnsi="Times New Roman" w:cs="Times New Roman"/>
          <w:color w:val="000000"/>
          <w:lang w:val="en-CA" w:eastAsia="en-CA"/>
        </w:rPr>
      </w:pPr>
      <w:proofErr w:type="spellStart"/>
      <w:r w:rsidRPr="00C71DC0">
        <w:rPr>
          <w:rFonts w:ascii="Times New Roman" w:hAnsi="Times New Roman" w:cs="Times New Roman"/>
          <w:color w:val="000000"/>
          <w:lang w:val="en-CA" w:eastAsia="en-CA"/>
        </w:rPr>
        <w:t>Gligorovski</w:t>
      </w:r>
      <w:proofErr w:type="spellEnd"/>
      <w:r w:rsidRPr="00C71DC0">
        <w:rPr>
          <w:rFonts w:ascii="Times New Roman" w:hAnsi="Times New Roman" w:cs="Times New Roman"/>
          <w:color w:val="000000"/>
          <w:lang w:val="en-CA" w:eastAsia="en-CA"/>
        </w:rPr>
        <w:t xml:space="preserve">, S., Rousse, D., George, C. H. and Herrmann, H.: Int. J. Chem. </w:t>
      </w:r>
      <w:proofErr w:type="spellStart"/>
      <w:r w:rsidRPr="00C71DC0">
        <w:rPr>
          <w:rFonts w:ascii="Times New Roman" w:hAnsi="Times New Roman" w:cs="Times New Roman"/>
          <w:color w:val="000000"/>
          <w:lang w:val="en-CA" w:eastAsia="en-CA"/>
        </w:rPr>
        <w:t>Kinet</w:t>
      </w:r>
      <w:proofErr w:type="spellEnd"/>
      <w:r w:rsidRPr="00C71DC0">
        <w:rPr>
          <w:rFonts w:ascii="Times New Roman" w:hAnsi="Times New Roman" w:cs="Times New Roman"/>
          <w:color w:val="000000"/>
          <w:lang w:val="en-CA" w:eastAsia="en-CA"/>
        </w:rPr>
        <w:t>., 41(5), 309-326, 2009.</w:t>
      </w:r>
    </w:p>
    <w:p w:rsidR="00C71DC0" w:rsidRDefault="00C71DC0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C71DC0" w:rsidRPr="00C71DC0" w:rsidRDefault="00C71DC0" w:rsidP="00C71DC0">
      <w:pPr>
        <w:jc w:val="both"/>
        <w:rPr>
          <w:color w:val="000000"/>
          <w:lang w:val="en-CA" w:eastAsia="en-CA"/>
        </w:rPr>
      </w:pPr>
      <w:r w:rsidRPr="00C71DC0">
        <w:rPr>
          <w:color w:val="000000"/>
          <w:lang w:val="en-CA" w:eastAsia="en-CA"/>
        </w:rPr>
        <w:t xml:space="preserve">Liu, Y., Haddad, I. E., </w:t>
      </w:r>
      <w:proofErr w:type="spellStart"/>
      <w:r w:rsidRPr="00C71DC0">
        <w:rPr>
          <w:color w:val="000000"/>
          <w:lang w:val="en-CA" w:eastAsia="en-CA"/>
        </w:rPr>
        <w:t>Scarfogliero</w:t>
      </w:r>
      <w:proofErr w:type="spellEnd"/>
      <w:r w:rsidRPr="00C71DC0">
        <w:rPr>
          <w:color w:val="000000"/>
          <w:lang w:val="en-CA" w:eastAsia="en-CA"/>
        </w:rPr>
        <w:t>, M., Nieto-</w:t>
      </w:r>
      <w:proofErr w:type="spellStart"/>
      <w:r w:rsidRPr="00C71DC0">
        <w:rPr>
          <w:color w:val="000000"/>
          <w:lang w:val="en-CA" w:eastAsia="en-CA"/>
        </w:rPr>
        <w:t>Gligorovski</w:t>
      </w:r>
      <w:proofErr w:type="spellEnd"/>
      <w:r w:rsidRPr="00C71DC0">
        <w:rPr>
          <w:color w:val="000000"/>
          <w:lang w:val="en-CA" w:eastAsia="en-CA"/>
        </w:rPr>
        <w:t xml:space="preserve">, L., </w:t>
      </w:r>
      <w:proofErr w:type="spellStart"/>
      <w:r w:rsidRPr="00C71DC0">
        <w:rPr>
          <w:color w:val="000000"/>
          <w:lang w:val="en-CA" w:eastAsia="en-CA"/>
        </w:rPr>
        <w:t>Temime</w:t>
      </w:r>
      <w:proofErr w:type="spellEnd"/>
      <w:r w:rsidRPr="00C71DC0">
        <w:rPr>
          <w:color w:val="000000"/>
          <w:lang w:val="en-CA" w:eastAsia="en-CA"/>
        </w:rPr>
        <w:t xml:space="preserve">-Roussel, B., </w:t>
      </w:r>
      <w:proofErr w:type="spellStart"/>
      <w:r w:rsidRPr="00C71DC0">
        <w:rPr>
          <w:color w:val="000000"/>
          <w:lang w:val="en-CA" w:eastAsia="en-CA"/>
        </w:rPr>
        <w:t>Quivet</w:t>
      </w:r>
      <w:proofErr w:type="spellEnd"/>
      <w:r w:rsidRPr="00C71DC0">
        <w:rPr>
          <w:color w:val="000000"/>
          <w:lang w:val="en-CA" w:eastAsia="en-CA"/>
        </w:rPr>
        <w:t>, E. and Monod, A.: Atmos. Chem. Phys., 9(14), 5093-5105, 2009.</w:t>
      </w:r>
    </w:p>
    <w:p w:rsidR="00C71DC0" w:rsidRDefault="00C71DC0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C71DC0" w:rsidRDefault="00C71DC0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C71DC0">
        <w:rPr>
          <w:spacing w:val="-3"/>
          <w:lang w:val="en-US"/>
        </w:rPr>
        <w:t xml:space="preserve">Monod, A., </w:t>
      </w:r>
      <w:proofErr w:type="spellStart"/>
      <w:r w:rsidRPr="00C71DC0">
        <w:rPr>
          <w:spacing w:val="-3"/>
          <w:lang w:val="en-US"/>
        </w:rPr>
        <w:t>Chebbi</w:t>
      </w:r>
      <w:proofErr w:type="spellEnd"/>
      <w:r w:rsidRPr="00C71DC0">
        <w:rPr>
          <w:spacing w:val="-3"/>
          <w:lang w:val="en-US"/>
        </w:rPr>
        <w:t>, A., Durand-</w:t>
      </w:r>
      <w:proofErr w:type="spellStart"/>
      <w:r w:rsidRPr="00C71DC0">
        <w:rPr>
          <w:spacing w:val="-3"/>
          <w:lang w:val="en-US"/>
        </w:rPr>
        <w:t>Jolibois</w:t>
      </w:r>
      <w:proofErr w:type="spellEnd"/>
      <w:r w:rsidRPr="00C71DC0">
        <w:rPr>
          <w:spacing w:val="-3"/>
          <w:lang w:val="en-US"/>
        </w:rPr>
        <w:t xml:space="preserve">, R. and </w:t>
      </w:r>
      <w:proofErr w:type="spellStart"/>
      <w:r w:rsidRPr="00C71DC0">
        <w:rPr>
          <w:spacing w:val="-3"/>
          <w:lang w:val="en-US"/>
        </w:rPr>
        <w:t>Carlier</w:t>
      </w:r>
      <w:proofErr w:type="spellEnd"/>
      <w:r w:rsidRPr="00C71DC0">
        <w:rPr>
          <w:spacing w:val="-3"/>
          <w:lang w:val="en-US"/>
        </w:rPr>
        <w:t>, P.: Atmos. Environ., 34(29), 5283-5294, 2000.</w:t>
      </w:r>
    </w:p>
    <w:p w:rsidR="00C71DC0" w:rsidRPr="00FE07A8" w:rsidRDefault="00C71DC0" w:rsidP="00E25E4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566D71" w:rsidRPr="00FE07A8" w:rsidRDefault="00566D71" w:rsidP="00566D71">
      <w:pPr>
        <w:jc w:val="both"/>
        <w:rPr>
          <w:color w:val="000000"/>
          <w:lang w:val="en-US" w:eastAsia="en-CA"/>
        </w:rPr>
      </w:pPr>
      <w:r w:rsidRPr="00DE723A">
        <w:rPr>
          <w:color w:val="000000"/>
          <w:lang w:val="de-DE" w:eastAsia="en-CA"/>
        </w:rPr>
        <w:t xml:space="preserve">Schöne, L., </w:t>
      </w:r>
      <w:proofErr w:type="spellStart"/>
      <w:r w:rsidRPr="00DE723A">
        <w:rPr>
          <w:color w:val="000000"/>
          <w:lang w:val="de-DE" w:eastAsia="en-CA"/>
        </w:rPr>
        <w:t>Schindelka</w:t>
      </w:r>
      <w:proofErr w:type="spellEnd"/>
      <w:r w:rsidRPr="00DE723A">
        <w:rPr>
          <w:color w:val="000000"/>
          <w:lang w:val="de-DE" w:eastAsia="en-CA"/>
        </w:rPr>
        <w:t xml:space="preserve">, J., </w:t>
      </w:r>
      <w:proofErr w:type="spellStart"/>
      <w:r w:rsidRPr="00DE723A">
        <w:rPr>
          <w:color w:val="000000"/>
          <w:lang w:val="de-DE" w:eastAsia="en-CA"/>
        </w:rPr>
        <w:t>Szeremeta</w:t>
      </w:r>
      <w:proofErr w:type="spellEnd"/>
      <w:r w:rsidRPr="00DE723A">
        <w:rPr>
          <w:color w:val="000000"/>
          <w:lang w:val="de-DE" w:eastAsia="en-CA"/>
        </w:rPr>
        <w:t xml:space="preserve">, E., Schaefer, T., Hoffmann, D., </w:t>
      </w:r>
      <w:proofErr w:type="spellStart"/>
      <w:r w:rsidRPr="00DE723A">
        <w:rPr>
          <w:color w:val="000000"/>
          <w:lang w:val="de-DE" w:eastAsia="en-CA"/>
        </w:rPr>
        <w:t>Rudzinski</w:t>
      </w:r>
      <w:proofErr w:type="spellEnd"/>
      <w:r w:rsidRPr="00DE723A">
        <w:rPr>
          <w:color w:val="000000"/>
          <w:lang w:val="de-DE" w:eastAsia="en-CA"/>
        </w:rPr>
        <w:t xml:space="preserve">, K. J., </w:t>
      </w:r>
      <w:proofErr w:type="spellStart"/>
      <w:r w:rsidRPr="00DE723A">
        <w:rPr>
          <w:color w:val="000000"/>
          <w:lang w:val="de-DE" w:eastAsia="en-CA"/>
        </w:rPr>
        <w:t>Szmigielski</w:t>
      </w:r>
      <w:proofErr w:type="spellEnd"/>
      <w:r w:rsidRPr="00DE723A">
        <w:rPr>
          <w:color w:val="000000"/>
          <w:lang w:val="de-DE" w:eastAsia="en-CA"/>
        </w:rPr>
        <w:t xml:space="preserve">, R. and Herrmann, H.: Phys. </w:t>
      </w:r>
      <w:r w:rsidRPr="00FE07A8">
        <w:rPr>
          <w:color w:val="000000"/>
          <w:lang w:val="en-US" w:eastAsia="en-CA"/>
        </w:rPr>
        <w:t>Chem. Chem. Phys., 16(13), 6257-6272, 2014.</w:t>
      </w:r>
    </w:p>
    <w:p w:rsidR="000B76D1" w:rsidRDefault="000B76D1" w:rsidP="00566D71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C71DC0" w:rsidRPr="00C71DC0" w:rsidRDefault="00C71DC0" w:rsidP="00C71DC0">
      <w:pPr>
        <w:jc w:val="both"/>
        <w:rPr>
          <w:color w:val="000000"/>
          <w:lang w:val="en-CA" w:eastAsia="en-CA"/>
        </w:rPr>
      </w:pPr>
      <w:proofErr w:type="spellStart"/>
      <w:r w:rsidRPr="00C71DC0">
        <w:rPr>
          <w:color w:val="000000"/>
          <w:lang w:val="en-CA" w:eastAsia="en-CA"/>
        </w:rPr>
        <w:t>Szeremeta</w:t>
      </w:r>
      <w:proofErr w:type="spellEnd"/>
      <w:r w:rsidRPr="00C71DC0">
        <w:rPr>
          <w:color w:val="000000"/>
          <w:lang w:val="en-CA" w:eastAsia="en-CA"/>
        </w:rPr>
        <w:t xml:space="preserve">, E., </w:t>
      </w:r>
      <w:proofErr w:type="spellStart"/>
      <w:r w:rsidRPr="00C71DC0">
        <w:rPr>
          <w:color w:val="000000"/>
          <w:lang w:val="en-CA" w:eastAsia="en-CA"/>
        </w:rPr>
        <w:t>Barzaghi</w:t>
      </w:r>
      <w:proofErr w:type="spellEnd"/>
      <w:r w:rsidRPr="00C71DC0">
        <w:rPr>
          <w:color w:val="000000"/>
          <w:lang w:val="en-CA" w:eastAsia="en-CA"/>
        </w:rPr>
        <w:t xml:space="preserve">, P., </w:t>
      </w:r>
      <w:proofErr w:type="spellStart"/>
      <w:r w:rsidRPr="00C71DC0">
        <w:rPr>
          <w:color w:val="000000"/>
          <w:lang w:val="en-CA" w:eastAsia="en-CA"/>
        </w:rPr>
        <w:t>Böge</w:t>
      </w:r>
      <w:proofErr w:type="spellEnd"/>
      <w:r w:rsidRPr="00C71DC0">
        <w:rPr>
          <w:color w:val="000000"/>
          <w:lang w:val="en-CA" w:eastAsia="en-CA"/>
        </w:rPr>
        <w:t xml:space="preserve">, O., Herrmann, H., </w:t>
      </w:r>
      <w:proofErr w:type="spellStart"/>
      <w:r w:rsidRPr="00C71DC0">
        <w:rPr>
          <w:color w:val="000000"/>
          <w:lang w:val="en-CA" w:eastAsia="en-CA"/>
        </w:rPr>
        <w:t>Gmachowski</w:t>
      </w:r>
      <w:proofErr w:type="spellEnd"/>
      <w:r w:rsidRPr="00C71DC0">
        <w:rPr>
          <w:color w:val="000000"/>
          <w:lang w:val="en-CA" w:eastAsia="en-CA"/>
        </w:rPr>
        <w:t xml:space="preserve">, L. and </w:t>
      </w:r>
      <w:proofErr w:type="spellStart"/>
      <w:r w:rsidRPr="00C71DC0">
        <w:rPr>
          <w:color w:val="000000"/>
          <w:lang w:val="en-CA" w:eastAsia="en-CA"/>
        </w:rPr>
        <w:t>Rudzinski</w:t>
      </w:r>
      <w:proofErr w:type="spellEnd"/>
      <w:r w:rsidRPr="00C71DC0">
        <w:rPr>
          <w:color w:val="000000"/>
          <w:lang w:val="en-CA" w:eastAsia="en-CA"/>
        </w:rPr>
        <w:t xml:space="preserve">, K. J., </w:t>
      </w:r>
      <w:proofErr w:type="spellStart"/>
      <w:r w:rsidRPr="00C71DC0">
        <w:rPr>
          <w:color w:val="000000"/>
          <w:lang w:val="en-CA" w:eastAsia="en-CA"/>
        </w:rPr>
        <w:t>edt</w:t>
      </w:r>
      <w:proofErr w:type="spellEnd"/>
      <w:r w:rsidRPr="00C71DC0">
        <w:rPr>
          <w:color w:val="000000"/>
          <w:lang w:val="en-CA" w:eastAsia="en-CA"/>
        </w:rPr>
        <w:t xml:space="preserve">.: </w:t>
      </w:r>
      <w:proofErr w:type="spellStart"/>
      <w:r w:rsidRPr="00C71DC0">
        <w:rPr>
          <w:color w:val="000000"/>
          <w:lang w:val="en-CA" w:eastAsia="en-CA"/>
        </w:rPr>
        <w:t>Maione</w:t>
      </w:r>
      <w:proofErr w:type="spellEnd"/>
      <w:r w:rsidRPr="00C71DC0">
        <w:rPr>
          <w:color w:val="000000"/>
          <w:lang w:val="en-CA" w:eastAsia="en-CA"/>
        </w:rPr>
        <w:t xml:space="preserve">, M. and </w:t>
      </w:r>
      <w:proofErr w:type="spellStart"/>
      <w:r w:rsidRPr="00C71DC0">
        <w:rPr>
          <w:color w:val="000000"/>
          <w:lang w:val="en-CA" w:eastAsia="en-CA"/>
        </w:rPr>
        <w:t>Fuzzi</w:t>
      </w:r>
      <w:proofErr w:type="spellEnd"/>
      <w:r w:rsidRPr="00C71DC0">
        <w:rPr>
          <w:color w:val="000000"/>
          <w:lang w:val="en-CA" w:eastAsia="en-CA"/>
        </w:rPr>
        <w:t xml:space="preserve">, S., </w:t>
      </w:r>
      <w:proofErr w:type="spellStart"/>
      <w:r w:rsidRPr="00C71DC0">
        <w:rPr>
          <w:color w:val="000000"/>
          <w:lang w:val="en-CA" w:eastAsia="en-CA"/>
        </w:rPr>
        <w:t>Aracne</w:t>
      </w:r>
      <w:proofErr w:type="spellEnd"/>
      <w:r w:rsidRPr="00C71DC0">
        <w:rPr>
          <w:color w:val="000000"/>
          <w:lang w:val="en-CA" w:eastAsia="en-CA"/>
        </w:rPr>
        <w:t xml:space="preserve"> </w:t>
      </w:r>
      <w:proofErr w:type="spellStart"/>
      <w:r w:rsidRPr="00C71DC0">
        <w:rPr>
          <w:color w:val="000000"/>
          <w:lang w:val="en-CA" w:eastAsia="en-CA"/>
        </w:rPr>
        <w:t>editrice</w:t>
      </w:r>
      <w:proofErr w:type="spellEnd"/>
      <w:r w:rsidRPr="00C71DC0">
        <w:rPr>
          <w:color w:val="000000"/>
          <w:lang w:val="en-CA" w:eastAsia="en-CA"/>
        </w:rPr>
        <w:t xml:space="preserve"> </w:t>
      </w:r>
      <w:proofErr w:type="spellStart"/>
      <w:r w:rsidRPr="00C71DC0">
        <w:rPr>
          <w:color w:val="000000"/>
          <w:lang w:val="en-CA" w:eastAsia="en-CA"/>
        </w:rPr>
        <w:t>Srl</w:t>
      </w:r>
      <w:proofErr w:type="spellEnd"/>
      <w:r w:rsidRPr="00C71DC0">
        <w:rPr>
          <w:color w:val="000000"/>
          <w:lang w:val="en-CA" w:eastAsia="en-CA"/>
        </w:rPr>
        <w:t xml:space="preserve">.: </w:t>
      </w:r>
      <w:proofErr w:type="spellStart"/>
      <w:r w:rsidR="00E13A5A">
        <w:rPr>
          <w:color w:val="000000"/>
          <w:lang w:val="en-CA" w:eastAsia="en-CA"/>
        </w:rPr>
        <w:t>Procedings</w:t>
      </w:r>
      <w:proofErr w:type="spellEnd"/>
      <w:r w:rsidR="00E13A5A">
        <w:rPr>
          <w:color w:val="000000"/>
          <w:lang w:val="en-CA" w:eastAsia="en-CA"/>
        </w:rPr>
        <w:t xml:space="preserve"> of the Second ACCENT Symposium</w:t>
      </w:r>
      <w:r w:rsidRPr="00C71DC0">
        <w:rPr>
          <w:color w:val="000000"/>
          <w:lang w:val="en-CA" w:eastAsia="en-CA"/>
        </w:rPr>
        <w:t>, 200</w:t>
      </w:r>
      <w:r w:rsidR="00E13A5A">
        <w:rPr>
          <w:color w:val="000000"/>
          <w:lang w:val="en-CA" w:eastAsia="en-CA"/>
        </w:rPr>
        <w:t>7</w:t>
      </w:r>
      <w:r w:rsidRPr="00C71DC0">
        <w:rPr>
          <w:color w:val="000000"/>
          <w:lang w:val="en-CA" w:eastAsia="en-CA"/>
        </w:rPr>
        <w:t>.</w:t>
      </w:r>
    </w:p>
    <w:p w:rsidR="00C71DC0" w:rsidRDefault="00C71DC0" w:rsidP="00566D71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584B60" w:rsidRDefault="00584B60" w:rsidP="00566D71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:rsidR="00584B60" w:rsidRDefault="003251D4" w:rsidP="00566D71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>
        <w:rPr>
          <w:noProof/>
          <w:spacing w:val="-3"/>
          <w:lang w:val="en-US"/>
        </w:rPr>
        <w:lastRenderedPageBreak/>
        <w:drawing>
          <wp:inline distT="0" distB="0" distL="0" distR="0">
            <wp:extent cx="5762625" cy="4067175"/>
            <wp:effectExtent l="0" t="0" r="0" b="0"/>
            <wp:docPr id="1" name="Bild 1" descr="Methacrolein+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hacrolein+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E21" w:rsidRPr="00FE07A8" w:rsidRDefault="00CE4E21" w:rsidP="00E13A5A">
      <w:pPr>
        <w:widowControl w:val="0"/>
        <w:tabs>
          <w:tab w:val="left" w:pos="0"/>
          <w:tab w:val="left" w:pos="426"/>
          <w:tab w:val="left" w:pos="720"/>
        </w:tabs>
        <w:jc w:val="both"/>
        <w:rPr>
          <w:spacing w:val="-3"/>
          <w:lang w:val="en-US"/>
        </w:rPr>
      </w:pP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T-dependent rate 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>coefficients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for the reaction of methacrolein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with 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>HO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 xml:space="preserve"> radicals</w:t>
      </w:r>
      <w:r w:rsidRPr="00AB48BD">
        <w:rPr>
          <w:rFonts w:ascii="Times New Roman" w:eastAsia="Symbol" w:hAnsi="Times New Roman" w:cs="Times New Roman"/>
          <w:color w:val="000000"/>
          <w:lang w:val="en-GB" w:eastAsia="de-DE"/>
        </w:rPr>
        <w:t xml:space="preserve"> in aqueous solution. </w:t>
      </w:r>
      <w:r w:rsidR="00DE723A">
        <w:rPr>
          <w:rFonts w:ascii="Times New Roman" w:eastAsia="Symbol" w:hAnsi="Times New Roman" w:cs="Times New Roman"/>
          <w:color w:val="000000"/>
          <w:lang w:val="en-GB" w:eastAsia="de-DE"/>
        </w:rPr>
        <w:t>For the regression, all data given in the plot has been considered</w:t>
      </w:r>
      <w:r>
        <w:rPr>
          <w:rFonts w:ascii="Times New Roman" w:eastAsia="Symbol" w:hAnsi="Times New Roman" w:cs="Times New Roman"/>
          <w:color w:val="000000"/>
          <w:lang w:val="en-GB" w:eastAsia="de-DE"/>
        </w:rPr>
        <w:t>.</w:t>
      </w:r>
    </w:p>
    <w:sectPr w:rsidR="00CE4E21" w:rsidRPr="00FE07A8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3E739E8"/>
    <w:multiLevelType w:val="hybridMultilevel"/>
    <w:tmpl w:val="51D23F12"/>
    <w:lvl w:ilvl="0" w:tplc="C44873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18AD"/>
    <w:rsid w:val="000226C3"/>
    <w:rsid w:val="00032D98"/>
    <w:rsid w:val="00036177"/>
    <w:rsid w:val="00037BE6"/>
    <w:rsid w:val="00040EB8"/>
    <w:rsid w:val="00053A77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B76D1"/>
    <w:rsid w:val="000C3CAA"/>
    <w:rsid w:val="000C7F9F"/>
    <w:rsid w:val="000D16E7"/>
    <w:rsid w:val="000D37DF"/>
    <w:rsid w:val="000D65CF"/>
    <w:rsid w:val="000D78B2"/>
    <w:rsid w:val="000E03DB"/>
    <w:rsid w:val="000E3FE8"/>
    <w:rsid w:val="00101645"/>
    <w:rsid w:val="00106A74"/>
    <w:rsid w:val="00112844"/>
    <w:rsid w:val="00120EED"/>
    <w:rsid w:val="00121962"/>
    <w:rsid w:val="00121AC9"/>
    <w:rsid w:val="001318D0"/>
    <w:rsid w:val="00133FEA"/>
    <w:rsid w:val="00145C54"/>
    <w:rsid w:val="00152FD9"/>
    <w:rsid w:val="00153BFD"/>
    <w:rsid w:val="00155ABA"/>
    <w:rsid w:val="001574B6"/>
    <w:rsid w:val="00157A3A"/>
    <w:rsid w:val="001637C3"/>
    <w:rsid w:val="00180D34"/>
    <w:rsid w:val="0018490C"/>
    <w:rsid w:val="00192FCA"/>
    <w:rsid w:val="00194620"/>
    <w:rsid w:val="00195B6D"/>
    <w:rsid w:val="00197003"/>
    <w:rsid w:val="001977C2"/>
    <w:rsid w:val="001A00CD"/>
    <w:rsid w:val="001A164B"/>
    <w:rsid w:val="001A1912"/>
    <w:rsid w:val="001B27BC"/>
    <w:rsid w:val="001D6CBA"/>
    <w:rsid w:val="001E1C70"/>
    <w:rsid w:val="001E4685"/>
    <w:rsid w:val="001E5126"/>
    <w:rsid w:val="001F4EB5"/>
    <w:rsid w:val="0020061C"/>
    <w:rsid w:val="00203B6A"/>
    <w:rsid w:val="002103C5"/>
    <w:rsid w:val="00213E99"/>
    <w:rsid w:val="00215F21"/>
    <w:rsid w:val="002162E9"/>
    <w:rsid w:val="00220181"/>
    <w:rsid w:val="00220DDF"/>
    <w:rsid w:val="00221A67"/>
    <w:rsid w:val="0022452F"/>
    <w:rsid w:val="00225486"/>
    <w:rsid w:val="0023124F"/>
    <w:rsid w:val="00263497"/>
    <w:rsid w:val="00266D30"/>
    <w:rsid w:val="00272284"/>
    <w:rsid w:val="0027580C"/>
    <w:rsid w:val="002837BB"/>
    <w:rsid w:val="00284087"/>
    <w:rsid w:val="002862D6"/>
    <w:rsid w:val="00291BA2"/>
    <w:rsid w:val="0029220B"/>
    <w:rsid w:val="002952DE"/>
    <w:rsid w:val="002979B8"/>
    <w:rsid w:val="002A1F8D"/>
    <w:rsid w:val="002A4717"/>
    <w:rsid w:val="002A7BE9"/>
    <w:rsid w:val="002A7F7E"/>
    <w:rsid w:val="002B021B"/>
    <w:rsid w:val="002B06A4"/>
    <w:rsid w:val="002B10B1"/>
    <w:rsid w:val="002B127C"/>
    <w:rsid w:val="002B1877"/>
    <w:rsid w:val="002B23A6"/>
    <w:rsid w:val="002B6012"/>
    <w:rsid w:val="002B69B0"/>
    <w:rsid w:val="002C5E16"/>
    <w:rsid w:val="002C7E9C"/>
    <w:rsid w:val="002D191B"/>
    <w:rsid w:val="002D3B7E"/>
    <w:rsid w:val="002D6DF0"/>
    <w:rsid w:val="0030119A"/>
    <w:rsid w:val="003016BE"/>
    <w:rsid w:val="00303330"/>
    <w:rsid w:val="00304CDC"/>
    <w:rsid w:val="00305BD9"/>
    <w:rsid w:val="0032415C"/>
    <w:rsid w:val="003251D4"/>
    <w:rsid w:val="00325D6F"/>
    <w:rsid w:val="003263B4"/>
    <w:rsid w:val="00336897"/>
    <w:rsid w:val="003420D6"/>
    <w:rsid w:val="0034448C"/>
    <w:rsid w:val="003515B2"/>
    <w:rsid w:val="00352F06"/>
    <w:rsid w:val="003570CC"/>
    <w:rsid w:val="003610F8"/>
    <w:rsid w:val="0036323E"/>
    <w:rsid w:val="00385F07"/>
    <w:rsid w:val="00390D27"/>
    <w:rsid w:val="00397A75"/>
    <w:rsid w:val="003A2660"/>
    <w:rsid w:val="003A3A5A"/>
    <w:rsid w:val="003A5A2D"/>
    <w:rsid w:val="003A71F8"/>
    <w:rsid w:val="003B2CA3"/>
    <w:rsid w:val="003B37E9"/>
    <w:rsid w:val="003B72AC"/>
    <w:rsid w:val="003C46EF"/>
    <w:rsid w:val="003D0949"/>
    <w:rsid w:val="003D1543"/>
    <w:rsid w:val="003D28C1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2477E"/>
    <w:rsid w:val="00443E37"/>
    <w:rsid w:val="004450AB"/>
    <w:rsid w:val="00447665"/>
    <w:rsid w:val="00450818"/>
    <w:rsid w:val="004513F5"/>
    <w:rsid w:val="00455EA0"/>
    <w:rsid w:val="00460967"/>
    <w:rsid w:val="00484C52"/>
    <w:rsid w:val="00486976"/>
    <w:rsid w:val="00486CBB"/>
    <w:rsid w:val="004A0D08"/>
    <w:rsid w:val="004A407F"/>
    <w:rsid w:val="004A6A88"/>
    <w:rsid w:val="004A7BA6"/>
    <w:rsid w:val="004B3308"/>
    <w:rsid w:val="004B7BC7"/>
    <w:rsid w:val="004C1B8E"/>
    <w:rsid w:val="004C3213"/>
    <w:rsid w:val="004C4D3E"/>
    <w:rsid w:val="004C6446"/>
    <w:rsid w:val="004E116B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22F3B"/>
    <w:rsid w:val="0052608B"/>
    <w:rsid w:val="005309A7"/>
    <w:rsid w:val="00536487"/>
    <w:rsid w:val="00541F5E"/>
    <w:rsid w:val="005424C6"/>
    <w:rsid w:val="00560013"/>
    <w:rsid w:val="00565A6E"/>
    <w:rsid w:val="00566D71"/>
    <w:rsid w:val="00571A09"/>
    <w:rsid w:val="0057662D"/>
    <w:rsid w:val="00584B60"/>
    <w:rsid w:val="00594C8E"/>
    <w:rsid w:val="00596558"/>
    <w:rsid w:val="005A08E2"/>
    <w:rsid w:val="005A22EA"/>
    <w:rsid w:val="005A3363"/>
    <w:rsid w:val="005A3C28"/>
    <w:rsid w:val="005A7488"/>
    <w:rsid w:val="005B3754"/>
    <w:rsid w:val="005B54D1"/>
    <w:rsid w:val="005B6EB1"/>
    <w:rsid w:val="005B70B5"/>
    <w:rsid w:val="005C3B60"/>
    <w:rsid w:val="005C5E6F"/>
    <w:rsid w:val="005D4CF6"/>
    <w:rsid w:val="005D731B"/>
    <w:rsid w:val="005E07E2"/>
    <w:rsid w:val="005E518D"/>
    <w:rsid w:val="00601BCA"/>
    <w:rsid w:val="00604D2C"/>
    <w:rsid w:val="00613C73"/>
    <w:rsid w:val="00615583"/>
    <w:rsid w:val="006355DC"/>
    <w:rsid w:val="00636A12"/>
    <w:rsid w:val="0063704E"/>
    <w:rsid w:val="00652F32"/>
    <w:rsid w:val="00654098"/>
    <w:rsid w:val="00663250"/>
    <w:rsid w:val="00670889"/>
    <w:rsid w:val="00675054"/>
    <w:rsid w:val="00680D2D"/>
    <w:rsid w:val="00692339"/>
    <w:rsid w:val="006A1A56"/>
    <w:rsid w:val="006A2320"/>
    <w:rsid w:val="006A6692"/>
    <w:rsid w:val="006B1C76"/>
    <w:rsid w:val="006B2DDA"/>
    <w:rsid w:val="006C0ECE"/>
    <w:rsid w:val="006D00DB"/>
    <w:rsid w:val="006D2807"/>
    <w:rsid w:val="006D5DBD"/>
    <w:rsid w:val="006D6759"/>
    <w:rsid w:val="006E1881"/>
    <w:rsid w:val="00700A63"/>
    <w:rsid w:val="00701B76"/>
    <w:rsid w:val="00702C8F"/>
    <w:rsid w:val="00703732"/>
    <w:rsid w:val="00705FAC"/>
    <w:rsid w:val="007064B6"/>
    <w:rsid w:val="00710305"/>
    <w:rsid w:val="0071369E"/>
    <w:rsid w:val="00721569"/>
    <w:rsid w:val="00721AC4"/>
    <w:rsid w:val="00740815"/>
    <w:rsid w:val="007440D3"/>
    <w:rsid w:val="007468AA"/>
    <w:rsid w:val="00751CEC"/>
    <w:rsid w:val="00762860"/>
    <w:rsid w:val="00764F62"/>
    <w:rsid w:val="00776BA1"/>
    <w:rsid w:val="00777324"/>
    <w:rsid w:val="0077768F"/>
    <w:rsid w:val="007813B8"/>
    <w:rsid w:val="00784793"/>
    <w:rsid w:val="00790A52"/>
    <w:rsid w:val="0079362F"/>
    <w:rsid w:val="00795528"/>
    <w:rsid w:val="007977A5"/>
    <w:rsid w:val="007A2D7C"/>
    <w:rsid w:val="007A3298"/>
    <w:rsid w:val="007B0E88"/>
    <w:rsid w:val="007C0F73"/>
    <w:rsid w:val="007C1BA6"/>
    <w:rsid w:val="007C1E12"/>
    <w:rsid w:val="007C387E"/>
    <w:rsid w:val="007E32FE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53D83"/>
    <w:rsid w:val="008549FA"/>
    <w:rsid w:val="00855918"/>
    <w:rsid w:val="008559B0"/>
    <w:rsid w:val="00855E05"/>
    <w:rsid w:val="00860B72"/>
    <w:rsid w:val="0086602C"/>
    <w:rsid w:val="00870020"/>
    <w:rsid w:val="008727AD"/>
    <w:rsid w:val="00875CB1"/>
    <w:rsid w:val="00877869"/>
    <w:rsid w:val="00877C06"/>
    <w:rsid w:val="0088073C"/>
    <w:rsid w:val="00880F4E"/>
    <w:rsid w:val="00881D55"/>
    <w:rsid w:val="00882CB2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C4FEB"/>
    <w:rsid w:val="008D16B0"/>
    <w:rsid w:val="008D1C63"/>
    <w:rsid w:val="008D271F"/>
    <w:rsid w:val="008F0755"/>
    <w:rsid w:val="008F2E8B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7499A"/>
    <w:rsid w:val="00976D47"/>
    <w:rsid w:val="00977BF1"/>
    <w:rsid w:val="00992340"/>
    <w:rsid w:val="0099441C"/>
    <w:rsid w:val="00994D88"/>
    <w:rsid w:val="009A2B51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11587"/>
    <w:rsid w:val="00A12788"/>
    <w:rsid w:val="00A17123"/>
    <w:rsid w:val="00A23BD8"/>
    <w:rsid w:val="00A25342"/>
    <w:rsid w:val="00A27EE9"/>
    <w:rsid w:val="00A35C85"/>
    <w:rsid w:val="00A36C41"/>
    <w:rsid w:val="00A37AA5"/>
    <w:rsid w:val="00A47C2F"/>
    <w:rsid w:val="00A528B3"/>
    <w:rsid w:val="00A57E5E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D0E6A"/>
    <w:rsid w:val="00AD1246"/>
    <w:rsid w:val="00AD4544"/>
    <w:rsid w:val="00AD57B5"/>
    <w:rsid w:val="00AF2E74"/>
    <w:rsid w:val="00AF43D2"/>
    <w:rsid w:val="00AF52EF"/>
    <w:rsid w:val="00B01FBD"/>
    <w:rsid w:val="00B12B55"/>
    <w:rsid w:val="00B20C78"/>
    <w:rsid w:val="00B228B1"/>
    <w:rsid w:val="00B3156D"/>
    <w:rsid w:val="00B35123"/>
    <w:rsid w:val="00B457A5"/>
    <w:rsid w:val="00B52179"/>
    <w:rsid w:val="00B525A0"/>
    <w:rsid w:val="00B61525"/>
    <w:rsid w:val="00B73CCE"/>
    <w:rsid w:val="00B84B46"/>
    <w:rsid w:val="00B85353"/>
    <w:rsid w:val="00B95A51"/>
    <w:rsid w:val="00BA1167"/>
    <w:rsid w:val="00BA1397"/>
    <w:rsid w:val="00BA71C5"/>
    <w:rsid w:val="00BB3581"/>
    <w:rsid w:val="00BB7807"/>
    <w:rsid w:val="00BB783C"/>
    <w:rsid w:val="00BB7992"/>
    <w:rsid w:val="00BC167C"/>
    <w:rsid w:val="00BC1D54"/>
    <w:rsid w:val="00BC47A3"/>
    <w:rsid w:val="00BD22BD"/>
    <w:rsid w:val="00BD2606"/>
    <w:rsid w:val="00BD451A"/>
    <w:rsid w:val="00BE50FB"/>
    <w:rsid w:val="00BF2B4D"/>
    <w:rsid w:val="00C00643"/>
    <w:rsid w:val="00C013BC"/>
    <w:rsid w:val="00C10304"/>
    <w:rsid w:val="00C10CD3"/>
    <w:rsid w:val="00C11A68"/>
    <w:rsid w:val="00C17A31"/>
    <w:rsid w:val="00C22890"/>
    <w:rsid w:val="00C25093"/>
    <w:rsid w:val="00C30D0A"/>
    <w:rsid w:val="00C54456"/>
    <w:rsid w:val="00C568C5"/>
    <w:rsid w:val="00C57B22"/>
    <w:rsid w:val="00C60D61"/>
    <w:rsid w:val="00C62FD8"/>
    <w:rsid w:val="00C648E1"/>
    <w:rsid w:val="00C67934"/>
    <w:rsid w:val="00C70E23"/>
    <w:rsid w:val="00C716CC"/>
    <w:rsid w:val="00C71DC0"/>
    <w:rsid w:val="00C72D3C"/>
    <w:rsid w:val="00C75688"/>
    <w:rsid w:val="00C85115"/>
    <w:rsid w:val="00C90E43"/>
    <w:rsid w:val="00C94795"/>
    <w:rsid w:val="00C94ED5"/>
    <w:rsid w:val="00C95A6E"/>
    <w:rsid w:val="00CB0B81"/>
    <w:rsid w:val="00CC4FB6"/>
    <w:rsid w:val="00CD1F98"/>
    <w:rsid w:val="00CD27A8"/>
    <w:rsid w:val="00CE2122"/>
    <w:rsid w:val="00CE24B0"/>
    <w:rsid w:val="00CE4E21"/>
    <w:rsid w:val="00D12D39"/>
    <w:rsid w:val="00D16D06"/>
    <w:rsid w:val="00D17C09"/>
    <w:rsid w:val="00D17F0E"/>
    <w:rsid w:val="00D2355F"/>
    <w:rsid w:val="00D249E0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91F7F"/>
    <w:rsid w:val="00D93016"/>
    <w:rsid w:val="00D952FB"/>
    <w:rsid w:val="00DB05A6"/>
    <w:rsid w:val="00DB2748"/>
    <w:rsid w:val="00DB53BB"/>
    <w:rsid w:val="00DB6F16"/>
    <w:rsid w:val="00DC68BF"/>
    <w:rsid w:val="00DD042B"/>
    <w:rsid w:val="00DD1D44"/>
    <w:rsid w:val="00DD5CB6"/>
    <w:rsid w:val="00DE09D1"/>
    <w:rsid w:val="00DE2EE6"/>
    <w:rsid w:val="00DE439D"/>
    <w:rsid w:val="00DE723A"/>
    <w:rsid w:val="00DF1D9A"/>
    <w:rsid w:val="00DF64B2"/>
    <w:rsid w:val="00DF6645"/>
    <w:rsid w:val="00E00EDD"/>
    <w:rsid w:val="00E016CB"/>
    <w:rsid w:val="00E02483"/>
    <w:rsid w:val="00E13A5A"/>
    <w:rsid w:val="00E16CA4"/>
    <w:rsid w:val="00E204AF"/>
    <w:rsid w:val="00E25E48"/>
    <w:rsid w:val="00E26FA5"/>
    <w:rsid w:val="00E30C96"/>
    <w:rsid w:val="00E40753"/>
    <w:rsid w:val="00E50B31"/>
    <w:rsid w:val="00E54FE8"/>
    <w:rsid w:val="00E55CFC"/>
    <w:rsid w:val="00E5686D"/>
    <w:rsid w:val="00E63EE2"/>
    <w:rsid w:val="00E72CC0"/>
    <w:rsid w:val="00E75E9C"/>
    <w:rsid w:val="00E82DB1"/>
    <w:rsid w:val="00E913D0"/>
    <w:rsid w:val="00EA674C"/>
    <w:rsid w:val="00EB1791"/>
    <w:rsid w:val="00EC0F25"/>
    <w:rsid w:val="00EC593A"/>
    <w:rsid w:val="00EC61B0"/>
    <w:rsid w:val="00ED2B1A"/>
    <w:rsid w:val="00EE0A46"/>
    <w:rsid w:val="00EE2CB8"/>
    <w:rsid w:val="00EF005A"/>
    <w:rsid w:val="00EF080E"/>
    <w:rsid w:val="00EF196F"/>
    <w:rsid w:val="00EF4D85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4154B"/>
    <w:rsid w:val="00F51B21"/>
    <w:rsid w:val="00F53C56"/>
    <w:rsid w:val="00F55117"/>
    <w:rsid w:val="00F62CD4"/>
    <w:rsid w:val="00F64725"/>
    <w:rsid w:val="00F726F5"/>
    <w:rsid w:val="00F73E6C"/>
    <w:rsid w:val="00F74858"/>
    <w:rsid w:val="00F90411"/>
    <w:rsid w:val="00FA0C8D"/>
    <w:rsid w:val="00FA1715"/>
    <w:rsid w:val="00FA41C3"/>
    <w:rsid w:val="00FA5201"/>
    <w:rsid w:val="00FA5651"/>
    <w:rsid w:val="00FB0603"/>
    <w:rsid w:val="00FB53C1"/>
    <w:rsid w:val="00FB64DA"/>
    <w:rsid w:val="00FC186E"/>
    <w:rsid w:val="00FC798E"/>
    <w:rsid w:val="00FD25E5"/>
    <w:rsid w:val="00FD42C5"/>
    <w:rsid w:val="00FD452E"/>
    <w:rsid w:val="00FD6843"/>
    <w:rsid w:val="00FE07A8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DBA90"/>
  <w15:chartTrackingRefBased/>
  <w15:docId w15:val="{267AD019-CEAE-4FD9-A525-4C874DEF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E4E21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paragraph" w:styleId="Listenabsatz">
    <w:name w:val="List Paragraph"/>
    <w:basedOn w:val="Standard"/>
    <w:uiPriority w:val="34"/>
    <w:qFormat/>
    <w:rsid w:val="00272284"/>
    <w:pPr>
      <w:ind w:left="720"/>
    </w:pPr>
  </w:style>
  <w:style w:type="character" w:styleId="Kommentarzeichen">
    <w:name w:val="annotation reference"/>
    <w:rsid w:val="00764F6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4F62"/>
    <w:rPr>
      <w:sz w:val="20"/>
      <w:szCs w:val="20"/>
    </w:rPr>
  </w:style>
  <w:style w:type="character" w:customStyle="1" w:styleId="KommentartextZchn">
    <w:name w:val="Kommentartext Zchn"/>
    <w:link w:val="Kommentartext"/>
    <w:rsid w:val="00764F62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764F62"/>
    <w:rPr>
      <w:b/>
      <w:bCs/>
    </w:rPr>
  </w:style>
  <w:style w:type="character" w:customStyle="1" w:styleId="KommentarthemaZchn">
    <w:name w:val="Kommentarthema Zchn"/>
    <w:link w:val="Kommentarthema"/>
    <w:rsid w:val="00764F62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upac.pole-ether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7A441-0F1C-4A6E-8675-6F0FA522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5987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2018-05-03T08:36:00Z</cp:lastPrinted>
  <dcterms:created xsi:type="dcterms:W3CDTF">2020-01-15T14:52:00Z</dcterms:created>
  <dcterms:modified xsi:type="dcterms:W3CDTF">2020-01-15T15:05:00Z</dcterms:modified>
</cp:coreProperties>
</file>