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AF224B">
        <w:t>AQ_OH_66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F37ED7">
        <w:t>November</w:t>
      </w:r>
      <w:r w:rsidR="00541694">
        <w:t xml:space="preserve"> 2019</w:t>
      </w:r>
      <w:r w:rsidRPr="007F4C67">
        <w:t xml:space="preserve">; last change in preferred values: </w:t>
      </w:r>
      <w:r w:rsidR="00541694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8D1C63" w:rsidRDefault="008D1C63" w:rsidP="00EF6281">
      <w:pPr>
        <w:ind w:left="1440" w:hanging="22"/>
        <w:rPr>
          <w:b/>
          <w:lang w:val="pt-BR"/>
        </w:rPr>
      </w:pPr>
      <w:r>
        <w:rPr>
          <w:b/>
          <w:lang w:val="pt-BR"/>
        </w:rPr>
        <w:t>H</w:t>
      </w:r>
      <w:r w:rsidRPr="008D1C63">
        <w:rPr>
          <w:b/>
          <w:vertAlign w:val="subscript"/>
          <w:lang w:val="pt-BR"/>
        </w:rPr>
        <w:t>2</w:t>
      </w:r>
      <w:r>
        <w:rPr>
          <w:b/>
          <w:lang w:val="pt-BR"/>
        </w:rPr>
        <w:t>O + CH</w:t>
      </w:r>
      <w:r w:rsidRPr="008D1C63">
        <w:rPr>
          <w:b/>
          <w:vertAlign w:val="subscript"/>
          <w:lang w:val="pt-BR"/>
        </w:rPr>
        <w:t>3</w:t>
      </w:r>
      <w:r w:rsidR="00705FAC" w:rsidRPr="00705FAC">
        <w:rPr>
          <w:b/>
          <w:lang w:val="pt-BR"/>
        </w:rPr>
        <w:t>CH</w:t>
      </w:r>
      <w:r>
        <w:rPr>
          <w:b/>
          <w:lang w:val="pt-BR"/>
        </w:rPr>
        <w:t>(CH</w:t>
      </w:r>
      <w:r w:rsidRPr="008D1C63">
        <w:rPr>
          <w:b/>
          <w:vertAlign w:val="subscript"/>
          <w:lang w:val="pt-BR"/>
        </w:rPr>
        <w:t>2</w:t>
      </w:r>
      <w:r>
        <w:rPr>
          <w:b/>
          <w:lang w:val="pt-BR"/>
        </w:rPr>
        <w:t>)</w:t>
      </w:r>
      <w:r w:rsidR="00705FAC">
        <w:rPr>
          <w:b/>
          <w:vertAlign w:val="subscript"/>
          <w:lang w:val="pt-BR"/>
        </w:rPr>
        <w:t>2</w:t>
      </w:r>
      <w:r>
        <w:rPr>
          <w:b/>
          <w:lang w:val="pt-BR"/>
        </w:rPr>
        <w:t>CHO</w:t>
      </w:r>
      <w:r w:rsidR="00C90C97">
        <w:rPr>
          <w:b/>
          <w:lang w:val="pt-BR"/>
        </w:rPr>
        <w:t xml:space="preserve"> </w:t>
      </w:r>
      <w:r w:rsidR="00442E14" w:rsidRPr="00455EA0">
        <w:rPr>
          <w:b/>
          <w:lang w:val="pt-BR"/>
        </w:rPr>
        <w:t>(aq)</w:t>
      </w:r>
      <w:r w:rsidRPr="00455EA0">
        <w:rPr>
          <w:b/>
          <w:lang w:val="pt-BR"/>
        </w:rPr>
        <w:t xml:space="preserve">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>
        <w:rPr>
          <w:b/>
          <w:lang w:val="pt-BR"/>
        </w:rPr>
        <w:t>CH</w:t>
      </w:r>
      <w:r w:rsidRPr="008D1C63">
        <w:rPr>
          <w:b/>
          <w:vertAlign w:val="subscript"/>
          <w:lang w:val="pt-BR"/>
        </w:rPr>
        <w:t>3</w:t>
      </w:r>
      <w:r w:rsidR="00705FAC" w:rsidRPr="00705FAC">
        <w:rPr>
          <w:b/>
          <w:lang w:val="pt-BR"/>
        </w:rPr>
        <w:t>CH</w:t>
      </w:r>
      <w:r>
        <w:rPr>
          <w:b/>
          <w:lang w:val="pt-BR"/>
        </w:rPr>
        <w:t>(CH</w:t>
      </w:r>
      <w:r w:rsidRPr="008D1C63">
        <w:rPr>
          <w:b/>
          <w:vertAlign w:val="subscript"/>
          <w:lang w:val="pt-BR"/>
        </w:rPr>
        <w:t>2</w:t>
      </w:r>
      <w:r>
        <w:rPr>
          <w:b/>
          <w:lang w:val="pt-BR"/>
        </w:rPr>
        <w:t>)</w:t>
      </w:r>
      <w:r w:rsidR="00705FAC">
        <w:rPr>
          <w:b/>
          <w:vertAlign w:val="subscript"/>
          <w:lang w:val="pt-BR"/>
        </w:rPr>
        <w:t>2</w:t>
      </w:r>
      <w:r>
        <w:rPr>
          <w:b/>
          <w:lang w:val="pt-BR"/>
        </w:rPr>
        <w:t>CH(OH)</w:t>
      </w:r>
      <w:r w:rsidRPr="008D1C63">
        <w:rPr>
          <w:b/>
          <w:vertAlign w:val="subscript"/>
          <w:lang w:val="pt-BR"/>
        </w:rPr>
        <w:t>2</w:t>
      </w:r>
      <w:r w:rsidR="00C90C97" w:rsidRPr="00C90C97">
        <w:rPr>
          <w:b/>
          <w:lang w:val="pt-BR"/>
        </w:rPr>
        <w:t xml:space="preserve"> </w:t>
      </w:r>
      <w:r w:rsidR="00442E14" w:rsidRPr="00455EA0">
        <w:rPr>
          <w:b/>
          <w:lang w:val="pt-BR"/>
        </w:rPr>
        <w:t>(aq)</w:t>
      </w:r>
      <w:r w:rsidR="00EF4D85">
        <w:rPr>
          <w:b/>
          <w:vertAlign w:val="subscript"/>
          <w:lang w:val="pt-BR"/>
        </w:rPr>
        <w:tab/>
      </w:r>
      <w:r w:rsidR="00EF4D85">
        <w:rPr>
          <w:b/>
          <w:vertAlign w:val="subscript"/>
          <w:lang w:val="pt-BR"/>
        </w:rPr>
        <w:tab/>
      </w:r>
      <w:r w:rsidR="00EF4D85" w:rsidRPr="00EF4D85">
        <w:rPr>
          <w:b/>
          <w:lang w:val="pt-BR"/>
        </w:rPr>
        <w:t>(1)</w:t>
      </w:r>
    </w:p>
    <w:p w:rsidR="008D1C63" w:rsidRDefault="008D1C63" w:rsidP="00EF6281">
      <w:pPr>
        <w:ind w:left="1440" w:hanging="22"/>
        <w:rPr>
          <w:b/>
          <w:lang w:val="pt-BR"/>
        </w:rPr>
      </w:pPr>
    </w:p>
    <w:p w:rsidR="00F726F5" w:rsidRDefault="00C626E5" w:rsidP="00EF6281">
      <w:pPr>
        <w:ind w:left="1440" w:hanging="22"/>
        <w:rPr>
          <w:b/>
          <w:lang w:val="pt-BR"/>
        </w:rPr>
      </w:pPr>
      <w:r>
        <w:rPr>
          <w:b/>
          <w:lang w:val="pt-BR"/>
        </w:rPr>
        <w:t>HO</w:t>
      </w:r>
      <w:r w:rsidR="00C90C97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8D1C63">
        <w:rPr>
          <w:b/>
          <w:lang w:val="pt-BR"/>
        </w:rPr>
        <w:t>CH</w:t>
      </w:r>
      <w:r w:rsidR="008D1C63" w:rsidRPr="008D1C63">
        <w:rPr>
          <w:b/>
          <w:vertAlign w:val="subscript"/>
          <w:lang w:val="pt-BR"/>
        </w:rPr>
        <w:t>3</w:t>
      </w:r>
      <w:r w:rsidR="00705FAC" w:rsidRPr="00705FAC">
        <w:rPr>
          <w:b/>
          <w:lang w:val="pt-BR"/>
        </w:rPr>
        <w:t>CH</w:t>
      </w:r>
      <w:r w:rsidR="008D1C63">
        <w:rPr>
          <w:b/>
          <w:lang w:val="pt-BR"/>
        </w:rPr>
        <w:t>(CH</w:t>
      </w:r>
      <w:r w:rsidR="008D1C63" w:rsidRPr="008D1C63">
        <w:rPr>
          <w:b/>
          <w:vertAlign w:val="subscript"/>
          <w:lang w:val="pt-BR"/>
        </w:rPr>
        <w:t>2</w:t>
      </w:r>
      <w:r w:rsidR="008D1C63">
        <w:rPr>
          <w:b/>
          <w:lang w:val="pt-BR"/>
        </w:rPr>
        <w:t>)</w:t>
      </w:r>
      <w:r w:rsidR="00705FAC">
        <w:rPr>
          <w:b/>
          <w:vertAlign w:val="subscript"/>
          <w:lang w:val="pt-BR"/>
        </w:rPr>
        <w:t>2</w:t>
      </w:r>
      <w:r w:rsidR="008D1C63">
        <w:rPr>
          <w:b/>
          <w:lang w:val="pt-BR"/>
        </w:rPr>
        <w:t>CHO</w:t>
      </w:r>
      <w:r w:rsidR="00C90C97">
        <w:rPr>
          <w:b/>
          <w:lang w:val="pt-BR"/>
        </w:rPr>
        <w:t xml:space="preserve"> 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C90C97">
        <w:rPr>
          <w:b/>
          <w:lang w:val="pt-BR"/>
        </w:rPr>
        <w:tab/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8D1C63">
        <w:rPr>
          <w:b/>
          <w:lang w:val="pt-BR"/>
        </w:rPr>
        <w:t>products</w:t>
      </w:r>
      <w:r w:rsidR="00EF4D85">
        <w:rPr>
          <w:b/>
          <w:lang w:val="pt-BR"/>
        </w:rPr>
        <w:tab/>
      </w:r>
      <w:r w:rsidR="00705FAC">
        <w:rPr>
          <w:b/>
          <w:lang w:val="pt-BR"/>
        </w:rPr>
        <w:tab/>
      </w:r>
      <w:bookmarkStart w:id="0" w:name="_GoBack"/>
      <w:bookmarkEnd w:id="0"/>
      <w:r w:rsidR="00442E14">
        <w:rPr>
          <w:b/>
          <w:lang w:val="pt-BR"/>
        </w:rPr>
        <w:tab/>
      </w:r>
      <w:r w:rsidR="00EF4D85">
        <w:rPr>
          <w:b/>
          <w:lang w:val="pt-BR"/>
        </w:rPr>
        <w:t>(2)</w:t>
      </w:r>
    </w:p>
    <w:p w:rsidR="008D1C63" w:rsidRPr="00455EA0" w:rsidRDefault="00C626E5" w:rsidP="00EF6281">
      <w:pPr>
        <w:ind w:left="1440" w:hanging="22"/>
        <w:rPr>
          <w:b/>
          <w:lang w:val="pt-BR"/>
        </w:rPr>
      </w:pPr>
      <w:r>
        <w:rPr>
          <w:b/>
          <w:lang w:val="pt-BR"/>
        </w:rPr>
        <w:t>HO</w:t>
      </w:r>
      <w:r w:rsidR="00C90C97">
        <w:rPr>
          <w:b/>
          <w:lang w:val="pt-BR"/>
        </w:rPr>
        <w:t xml:space="preserve"> </w:t>
      </w:r>
      <w:r w:rsidR="008D1C63" w:rsidRPr="00455EA0">
        <w:rPr>
          <w:b/>
          <w:lang w:val="pt-BR"/>
        </w:rPr>
        <w:t xml:space="preserve">(aq) + </w:t>
      </w:r>
      <w:r w:rsidR="008D1C63">
        <w:rPr>
          <w:b/>
          <w:lang w:val="pt-BR"/>
        </w:rPr>
        <w:t>CH</w:t>
      </w:r>
      <w:r w:rsidR="008D1C63" w:rsidRPr="008D1C63">
        <w:rPr>
          <w:b/>
          <w:vertAlign w:val="subscript"/>
          <w:lang w:val="pt-BR"/>
        </w:rPr>
        <w:t>3</w:t>
      </w:r>
      <w:r w:rsidR="00705FAC" w:rsidRPr="00705FAC">
        <w:rPr>
          <w:b/>
          <w:lang w:val="pt-BR"/>
        </w:rPr>
        <w:t>CH</w:t>
      </w:r>
      <w:r w:rsidR="008D1C63">
        <w:rPr>
          <w:b/>
          <w:lang w:val="pt-BR"/>
        </w:rPr>
        <w:t>(CH</w:t>
      </w:r>
      <w:r w:rsidR="008D1C63" w:rsidRPr="008D1C63">
        <w:rPr>
          <w:b/>
          <w:vertAlign w:val="subscript"/>
          <w:lang w:val="pt-BR"/>
        </w:rPr>
        <w:t>2</w:t>
      </w:r>
      <w:r w:rsidR="008D1C63">
        <w:rPr>
          <w:b/>
          <w:lang w:val="pt-BR"/>
        </w:rPr>
        <w:t>)</w:t>
      </w:r>
      <w:r w:rsidR="00705FAC">
        <w:rPr>
          <w:b/>
          <w:vertAlign w:val="subscript"/>
          <w:lang w:val="pt-BR"/>
        </w:rPr>
        <w:t>2</w:t>
      </w:r>
      <w:r w:rsidR="008D1C63">
        <w:rPr>
          <w:b/>
          <w:lang w:val="pt-BR"/>
        </w:rPr>
        <w:t>CH(OH)</w:t>
      </w:r>
      <w:r w:rsidR="008D1C63" w:rsidRPr="008D1C63">
        <w:rPr>
          <w:b/>
          <w:vertAlign w:val="subscript"/>
          <w:lang w:val="pt-BR"/>
        </w:rPr>
        <w:t>2</w:t>
      </w:r>
      <w:r w:rsidR="00C90C97" w:rsidRPr="00C90C97">
        <w:rPr>
          <w:b/>
          <w:lang w:val="pt-BR"/>
        </w:rPr>
        <w:t xml:space="preserve"> </w:t>
      </w:r>
      <w:r w:rsidR="008D1C63" w:rsidRPr="00455EA0">
        <w:rPr>
          <w:b/>
          <w:lang w:val="pt-BR"/>
        </w:rPr>
        <w:t xml:space="preserve">(aq) </w:t>
      </w:r>
      <w:r w:rsidR="00C90C97">
        <w:rPr>
          <w:b/>
          <w:lang w:val="pt-BR"/>
        </w:rPr>
        <w:tab/>
      </w:r>
      <w:r w:rsidR="008D1C63" w:rsidRPr="00455EA0">
        <w:rPr>
          <w:b/>
        </w:rPr>
        <w:sym w:font="Symbol" w:char="F0AE"/>
      </w:r>
      <w:r w:rsidR="008D1C63" w:rsidRPr="00455EA0">
        <w:rPr>
          <w:b/>
          <w:lang w:val="pt-BR"/>
        </w:rPr>
        <w:t xml:space="preserve"> </w:t>
      </w:r>
      <w:r w:rsidR="008D1C63">
        <w:rPr>
          <w:b/>
          <w:lang w:val="pt-BR"/>
        </w:rPr>
        <w:t>products</w:t>
      </w:r>
      <w:r w:rsidR="00EF4D85">
        <w:rPr>
          <w:b/>
          <w:lang w:val="pt-BR"/>
        </w:rPr>
        <w:tab/>
      </w:r>
      <w:r w:rsidR="00EF4D85">
        <w:rPr>
          <w:b/>
          <w:lang w:val="pt-BR"/>
        </w:rPr>
        <w:tab/>
      </w:r>
      <w:r w:rsidR="00442E14">
        <w:rPr>
          <w:b/>
          <w:lang w:val="pt-BR"/>
        </w:rPr>
        <w:tab/>
      </w:r>
      <w:r w:rsidR="00EF4D85">
        <w:rPr>
          <w:b/>
          <w:lang w:val="pt-BR"/>
        </w:rPr>
        <w:t>(3)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541694" w:rsidTr="0054169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541694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41694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54169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541694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541694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541694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541694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41694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41694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541694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41694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541694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41694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541694">
              <w:rPr>
                <w:spacing w:val="-3"/>
                <w:lang w:val="en-US"/>
              </w:rPr>
              <w:t>I</w:t>
            </w:r>
            <w:r w:rsidRPr="00541694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541694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541694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541694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541694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541694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41694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705FAC" w:rsidTr="0054169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5FAC" w:rsidRDefault="00705FAC" w:rsidP="00C626E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lang w:val="en-GB"/>
              </w:rPr>
              <w:t>3.</w:t>
            </w:r>
            <w:r w:rsidR="00C626E5">
              <w:rPr>
                <w:rFonts w:eastAsia="Symbol" w:cs="Symbol"/>
                <w:lang w:val="en-GB"/>
              </w:rPr>
              <w:t>0</w:t>
            </w:r>
            <w:r w:rsidR="00C626E5"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5FAC" w:rsidRDefault="00541694" w:rsidP="00C626E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5FAC" w:rsidRDefault="000C4390" w:rsidP="00EF6281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5FAC" w:rsidRDefault="00541694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5FAC" w:rsidRDefault="00705FAC" w:rsidP="00EF628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Acero</w:t>
            </w:r>
            <w:proofErr w:type="spellEnd"/>
            <w:r>
              <w:rPr>
                <w:spacing w:val="-2"/>
                <w:lang w:val="en-CA"/>
              </w:rPr>
              <w:t xml:space="preserve"> et al., 2001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5FAC" w:rsidRPr="00197003" w:rsidRDefault="00705FAC" w:rsidP="00705FA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Competition </w:t>
            </w:r>
            <w:proofErr w:type="spellStart"/>
            <w:r>
              <w:rPr>
                <w:spacing w:val="-2"/>
                <w:lang w:val="en-US"/>
              </w:rPr>
              <w:t>cinetics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 w:rsidRPr="00170263">
              <w:t>/</w:t>
            </w:r>
            <w:r>
              <w:t xml:space="preserve"> HPLC </w:t>
            </w:r>
            <w:r>
              <w:rPr>
                <w:spacing w:val="-2"/>
                <w:lang w:val="en-US"/>
              </w:rPr>
              <w:t>(a)</w:t>
            </w:r>
          </w:p>
        </w:tc>
      </w:tr>
    </w:tbl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B02C67" w:rsidRDefault="00B02C67" w:rsidP="00B02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B02C67" w:rsidRDefault="00B02C67" w:rsidP="00B02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equilibrium constant for the hydration (1) is recommended as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298 K</w:t>
      </w:r>
      <w:r>
        <w:rPr>
          <w:rFonts w:ascii="Times New Roman" w:hAnsi="Times New Roman" w:cs="Times New Roman"/>
          <w:spacing w:val="-3"/>
          <w:lang w:val="en-US"/>
        </w:rPr>
        <w:t> = 0.23 by Doussin and Monod (2013).</w:t>
      </w:r>
    </w:p>
    <w:p w:rsidR="00B02C67" w:rsidRDefault="00B02C67" w:rsidP="00B02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B02C67" w:rsidRDefault="00B02C67" w:rsidP="00B02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B02C67" w:rsidRDefault="00B02C67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8D1C63" w:rsidRPr="00E12CB0" w:rsidRDefault="008D1C63" w:rsidP="00EF6281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  <w:r>
        <w:rPr>
          <w:lang w:val="en-CA"/>
        </w:rPr>
        <w:t>(a)</w:t>
      </w:r>
      <w:r>
        <w:rPr>
          <w:rFonts w:eastAsia="Symbol" w:cs="Symbol"/>
          <w:lang w:val="en-CA"/>
        </w:rPr>
        <w:tab/>
      </w:r>
      <w:r w:rsidR="000C4390">
        <w:rPr>
          <w:lang w:val="en-CA"/>
        </w:rPr>
        <w:t xml:space="preserve">HO </w:t>
      </w:r>
      <w:r w:rsidR="00705FAC">
        <w:rPr>
          <w:lang w:val="en-CA"/>
        </w:rPr>
        <w:t>radicals were generated by addition of O</w:t>
      </w:r>
      <w:r w:rsidR="00705FAC">
        <w:rPr>
          <w:vertAlign w:val="subscript"/>
          <w:lang w:val="en-CA"/>
        </w:rPr>
        <w:t>3</w:t>
      </w:r>
      <w:r w:rsidR="00705FAC">
        <w:rPr>
          <w:lang w:val="en-CA"/>
        </w:rPr>
        <w:t xml:space="preserve"> (</w:t>
      </w:r>
      <w:r w:rsidR="00AE593B">
        <w:rPr>
          <w:lang w:val="en-CA"/>
        </w:rPr>
        <w:t>2 × 10</w:t>
      </w:r>
      <w:r w:rsidR="00AE593B">
        <w:rPr>
          <w:vertAlign w:val="superscript"/>
          <w:lang w:val="en-CA"/>
        </w:rPr>
        <w:noBreakHyphen/>
        <w:t>5</w:t>
      </w:r>
      <w:r w:rsidR="00AE593B">
        <w:rPr>
          <w:lang w:val="en-CA"/>
        </w:rPr>
        <w:t> M</w:t>
      </w:r>
      <w:r w:rsidR="00705FAC">
        <w:rPr>
          <w:lang w:val="en-CA"/>
        </w:rPr>
        <w:t xml:space="preserve">) to </w:t>
      </w:r>
      <w:r w:rsidR="00AE593B">
        <w:rPr>
          <w:lang w:val="en-CA"/>
        </w:rPr>
        <w:t xml:space="preserve">an </w:t>
      </w:r>
      <w:r w:rsidR="00705FAC">
        <w:rPr>
          <w:lang w:val="en-CA"/>
        </w:rPr>
        <w:t xml:space="preserve">aqueous </w:t>
      </w:r>
      <w:r w:rsidR="00AE593B">
        <w:rPr>
          <w:lang w:val="en-CA"/>
        </w:rPr>
        <w:t>H</w:t>
      </w:r>
      <w:r w:rsidR="00AE593B">
        <w:rPr>
          <w:vertAlign w:val="subscript"/>
          <w:lang w:val="en-CA"/>
        </w:rPr>
        <w:t>2</w:t>
      </w:r>
      <w:r w:rsidR="00AE593B">
        <w:rPr>
          <w:lang w:val="en-CA"/>
        </w:rPr>
        <w:t>O</w:t>
      </w:r>
      <w:r w:rsidR="00AE593B">
        <w:rPr>
          <w:vertAlign w:val="subscript"/>
          <w:lang w:val="en-CA"/>
        </w:rPr>
        <w:t>2</w:t>
      </w:r>
      <w:r w:rsidR="00AE593B">
        <w:rPr>
          <w:lang w:val="en-CA"/>
        </w:rPr>
        <w:t xml:space="preserve"> (0.1 mM) </w:t>
      </w:r>
      <w:r w:rsidR="00705FAC">
        <w:rPr>
          <w:lang w:val="en-CA"/>
        </w:rPr>
        <w:t>solu</w:t>
      </w:r>
      <w:r w:rsidR="00AF224B">
        <w:rPr>
          <w:lang w:val="en-CA"/>
        </w:rPr>
        <w:t>tion; products analyzed by HPLC;</w:t>
      </w:r>
      <w:r w:rsidR="00705FAC">
        <w:rPr>
          <w:lang w:val="en-CA"/>
        </w:rPr>
        <w:t xml:space="preserve"> Reference reaction: </w:t>
      </w:r>
      <w:r w:rsidR="00C626E5">
        <w:rPr>
          <w:lang w:val="pt-BR"/>
        </w:rPr>
        <w:t>HO</w:t>
      </w:r>
      <w:r w:rsidR="00705FAC">
        <w:rPr>
          <w:lang w:val="pt-BR"/>
        </w:rPr>
        <w:t xml:space="preserve"> + </w:t>
      </w:r>
      <w:proofErr w:type="spellStart"/>
      <w:r w:rsidR="00705FAC">
        <w:rPr>
          <w:lang w:val="en-CA"/>
        </w:rPr>
        <w:t>pCBA</w:t>
      </w:r>
      <w:proofErr w:type="spellEnd"/>
      <w:r w:rsidR="00705FAC">
        <w:rPr>
          <w:lang w:val="en-CA"/>
        </w:rPr>
        <w:t xml:space="preserve"> with </w:t>
      </w:r>
      <w:r w:rsidR="00705FAC" w:rsidRPr="00912975">
        <w:rPr>
          <w:i/>
          <w:lang w:val="en-CA"/>
        </w:rPr>
        <w:t>k</w:t>
      </w:r>
      <w:r w:rsidR="00705FAC">
        <w:rPr>
          <w:lang w:val="en-CA"/>
        </w:rPr>
        <w:t>(</w:t>
      </w:r>
      <w:r w:rsidR="00C626E5">
        <w:rPr>
          <w:lang w:val="pt-BR"/>
        </w:rPr>
        <w:t>HO</w:t>
      </w:r>
      <w:r w:rsidR="00705FAC">
        <w:rPr>
          <w:lang w:val="en-CA"/>
        </w:rPr>
        <w:t xml:space="preserve"> + </w:t>
      </w:r>
      <w:proofErr w:type="spellStart"/>
      <w:r w:rsidR="00705FAC">
        <w:rPr>
          <w:lang w:val="en-CA"/>
        </w:rPr>
        <w:t>pCBA</w:t>
      </w:r>
      <w:proofErr w:type="spellEnd"/>
      <w:r w:rsidR="00705FAC">
        <w:rPr>
          <w:lang w:val="en-CA"/>
        </w:rPr>
        <w:t>) = 5</w:t>
      </w:r>
      <w:r w:rsidR="00705FAC" w:rsidRPr="00AB48BD">
        <w:rPr>
          <w:rFonts w:eastAsia="Symbol" w:cs="Symbol"/>
          <w:lang w:val="en-GB"/>
        </w:rPr>
        <w:t> </w:t>
      </w:r>
      <w:r w:rsidR="00705FAC" w:rsidRPr="00AB48BD">
        <w:rPr>
          <w:rFonts w:ascii="Symbol" w:eastAsia="Symbol" w:hAnsi="Symbol" w:cs="Symbol"/>
          <w:spacing w:val="-3"/>
          <w:lang w:val="en-GB"/>
        </w:rPr>
        <w:t></w:t>
      </w:r>
      <w:r w:rsidR="00705FAC">
        <w:rPr>
          <w:rFonts w:eastAsia="Symbol" w:cs="Symbol"/>
          <w:spacing w:val="-2"/>
          <w:lang w:val="en-GB"/>
        </w:rPr>
        <w:t> </w:t>
      </w:r>
      <w:r w:rsidR="00705FAC">
        <w:rPr>
          <w:lang w:val="en-CA"/>
        </w:rPr>
        <w:t>10</w:t>
      </w:r>
      <w:r w:rsidR="00705FAC">
        <w:rPr>
          <w:vertAlign w:val="superscript"/>
          <w:lang w:val="en-CA"/>
        </w:rPr>
        <w:t>9</w:t>
      </w:r>
      <w:r w:rsidR="00705FAC">
        <w:rPr>
          <w:rFonts w:eastAsia="Symbol" w:cs="Symbol"/>
          <w:spacing w:val="-2"/>
          <w:vertAlign w:val="superscript"/>
          <w:lang w:val="en-GB"/>
        </w:rPr>
        <w:t> </w:t>
      </w:r>
      <w:r w:rsidR="00705FAC" w:rsidRPr="00AB48BD">
        <w:rPr>
          <w:rFonts w:eastAsia="Symbol" w:cs="Symbol"/>
          <w:spacing w:val="-2"/>
          <w:lang w:val="en-GB"/>
        </w:rPr>
        <w:t>M</w:t>
      </w:r>
      <w:r w:rsidR="00705FAC">
        <w:rPr>
          <w:rFonts w:eastAsia="Symbol" w:cs="Symbol"/>
          <w:spacing w:val="-2"/>
          <w:vertAlign w:val="superscript"/>
          <w:lang w:val="en-GB"/>
        </w:rPr>
        <w:noBreakHyphen/>
      </w:r>
      <w:r w:rsidR="00705FAC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705FAC" w:rsidRPr="00AB48BD">
        <w:rPr>
          <w:rFonts w:eastAsia="Symbol" w:cs="Symbol"/>
          <w:spacing w:val="-2"/>
          <w:lang w:val="en-GB"/>
        </w:rPr>
        <w:t>s</w:t>
      </w:r>
      <w:r w:rsidR="00705FAC">
        <w:rPr>
          <w:rFonts w:eastAsia="Symbol" w:cs="Symbol"/>
          <w:spacing w:val="-2"/>
          <w:vertAlign w:val="superscript"/>
          <w:lang w:val="en-GB"/>
        </w:rPr>
        <w:noBreakHyphen/>
      </w:r>
      <w:r w:rsidR="00705FAC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705FAC">
        <w:rPr>
          <w:rFonts w:eastAsia="Symbol" w:cs="Symbol"/>
          <w:spacing w:val="-2"/>
          <w:lang w:val="en-GB"/>
        </w:rPr>
        <w:t xml:space="preserve"> (Buxton et al., 1988)</w:t>
      </w:r>
      <w:r w:rsidR="00705FAC">
        <w:rPr>
          <w:lang w:val="en-CA"/>
        </w:rPr>
        <w:t>;</w:t>
      </w:r>
      <w:r w:rsidR="00C626E5">
        <w:rPr>
          <w:lang w:val="en-CA"/>
        </w:rPr>
        <w:t xml:space="preserve"> </w:t>
      </w:r>
      <w:r w:rsidR="00541694">
        <w:rPr>
          <w:lang w:val="en-CA"/>
        </w:rPr>
        <w:t xml:space="preserve">the rate coefficient has been recalculated using the recommended value for the reference reaction </w:t>
      </w:r>
      <w:r w:rsidR="00541694">
        <w:rPr>
          <w:i/>
          <w:lang w:val="en-CA"/>
        </w:rPr>
        <w:t>k</w:t>
      </w:r>
      <w:r w:rsidR="00541694">
        <w:rPr>
          <w:lang w:val="en-CA"/>
        </w:rPr>
        <w:t> = 4.64</w:t>
      </w:r>
      <w:r w:rsidR="00541694" w:rsidRPr="00AB48BD">
        <w:rPr>
          <w:rFonts w:eastAsia="Symbol" w:cs="Symbol"/>
          <w:lang w:val="en-GB"/>
        </w:rPr>
        <w:t> </w:t>
      </w:r>
      <w:r w:rsidR="00541694" w:rsidRPr="00AB48BD">
        <w:rPr>
          <w:rFonts w:ascii="Symbol" w:eastAsia="Symbol" w:hAnsi="Symbol" w:cs="Symbol"/>
          <w:spacing w:val="-3"/>
          <w:lang w:val="en-GB"/>
        </w:rPr>
        <w:t></w:t>
      </w:r>
      <w:r w:rsidR="00541694">
        <w:rPr>
          <w:rFonts w:eastAsia="Symbol" w:cs="Symbol"/>
          <w:spacing w:val="-2"/>
          <w:lang w:val="en-GB"/>
        </w:rPr>
        <w:t> </w:t>
      </w:r>
      <w:r w:rsidR="00541694">
        <w:rPr>
          <w:lang w:val="en-CA"/>
        </w:rPr>
        <w:t>10</w:t>
      </w:r>
      <w:r w:rsidR="00541694">
        <w:rPr>
          <w:vertAlign w:val="superscript"/>
          <w:lang w:val="en-CA"/>
        </w:rPr>
        <w:t>9</w:t>
      </w:r>
      <w:r w:rsidR="00541694">
        <w:rPr>
          <w:rFonts w:eastAsia="Symbol" w:cs="Symbol"/>
          <w:spacing w:val="-2"/>
          <w:vertAlign w:val="superscript"/>
          <w:lang w:val="en-GB"/>
        </w:rPr>
        <w:t> </w:t>
      </w:r>
      <w:r w:rsidR="00541694" w:rsidRPr="00AB48BD">
        <w:rPr>
          <w:rFonts w:eastAsia="Symbol" w:cs="Symbol"/>
          <w:spacing w:val="-2"/>
          <w:lang w:val="en-GB"/>
        </w:rPr>
        <w:t>M</w:t>
      </w:r>
      <w:r w:rsidR="00541694">
        <w:rPr>
          <w:rFonts w:eastAsia="Symbol" w:cs="Symbol"/>
          <w:spacing w:val="-2"/>
          <w:vertAlign w:val="superscript"/>
          <w:lang w:val="en-GB"/>
        </w:rPr>
        <w:noBreakHyphen/>
      </w:r>
      <w:r w:rsidR="00541694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541694" w:rsidRPr="00AB48BD">
        <w:rPr>
          <w:rFonts w:eastAsia="Symbol" w:cs="Symbol"/>
          <w:spacing w:val="-2"/>
          <w:lang w:val="en-GB"/>
        </w:rPr>
        <w:t>s</w:t>
      </w:r>
      <w:r w:rsidR="00541694">
        <w:rPr>
          <w:rFonts w:eastAsia="Symbol" w:cs="Symbol"/>
          <w:spacing w:val="-2"/>
          <w:vertAlign w:val="superscript"/>
          <w:lang w:val="en-GB"/>
        </w:rPr>
        <w:noBreakHyphen/>
      </w:r>
      <w:r w:rsidR="00541694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C626E5">
        <w:rPr>
          <w:lang w:val="en-CA"/>
        </w:rPr>
        <w:t>;</w:t>
      </w:r>
      <w:r w:rsidR="000C4390">
        <w:rPr>
          <w:lang w:val="en-CA"/>
        </w:rPr>
        <w:t xml:space="preserve"> </w:t>
      </w:r>
      <w:r w:rsidR="000C4390">
        <w:rPr>
          <w:i/>
          <w:lang w:val="en-CA"/>
        </w:rPr>
        <w:t>c</w:t>
      </w:r>
      <w:r w:rsidR="000C4390">
        <w:rPr>
          <w:lang w:val="en-CA"/>
        </w:rPr>
        <w:t>(</w:t>
      </w:r>
      <w:r w:rsidR="00AE593B">
        <w:rPr>
          <w:lang w:val="en-CA"/>
        </w:rPr>
        <w:t>2,2-dimethylpropanal) = 10</w:t>
      </w:r>
      <w:r w:rsidR="00AE593B">
        <w:rPr>
          <w:vertAlign w:val="superscript"/>
          <w:lang w:val="en-CA"/>
        </w:rPr>
        <w:noBreakHyphen/>
        <w:t>3</w:t>
      </w:r>
      <w:r w:rsidR="00AE593B">
        <w:rPr>
          <w:lang w:val="en-CA"/>
        </w:rPr>
        <w:t xml:space="preserve"> M, </w:t>
      </w:r>
      <w:r w:rsidR="00AE593B">
        <w:rPr>
          <w:i/>
          <w:lang w:val="en-CA"/>
        </w:rPr>
        <w:t>c</w:t>
      </w:r>
      <w:r w:rsidR="00AE593B">
        <w:rPr>
          <w:lang w:val="en-CA"/>
        </w:rPr>
        <w:t>(</w:t>
      </w:r>
      <w:proofErr w:type="spellStart"/>
      <w:r w:rsidR="00AE593B">
        <w:rPr>
          <w:lang w:val="en-CA"/>
        </w:rPr>
        <w:t>pCBA</w:t>
      </w:r>
      <w:proofErr w:type="spellEnd"/>
      <w:r w:rsidR="00AE593B">
        <w:rPr>
          <w:lang w:val="en-CA"/>
        </w:rPr>
        <w:t>) = 10 µM;</w:t>
      </w:r>
      <w:r w:rsidR="00705FAC">
        <w:rPr>
          <w:lang w:val="en-CA"/>
        </w:rPr>
        <w:t xml:space="preserve"> </w:t>
      </w:r>
      <w:r w:rsidR="00705FAC" w:rsidRPr="00541694">
        <w:rPr>
          <w:lang w:val="en-CA"/>
        </w:rPr>
        <w:t>Indigo method</w:t>
      </w:r>
      <w:r w:rsidR="00705FAC">
        <w:rPr>
          <w:lang w:val="en-CA"/>
        </w:rPr>
        <w:t xml:space="preserve">, as described by Bader and </w:t>
      </w:r>
      <w:proofErr w:type="spellStart"/>
      <w:r w:rsidR="00705FAC">
        <w:rPr>
          <w:lang w:val="en-CA"/>
        </w:rPr>
        <w:t>Hoign</w:t>
      </w:r>
      <w:proofErr w:type="spellEnd"/>
      <w:r w:rsidR="00705FAC" w:rsidRPr="00C25D81">
        <w:rPr>
          <w:spacing w:val="-3"/>
          <w:lang w:val="en-US"/>
        </w:rPr>
        <w:t>é</w:t>
      </w:r>
      <w:r w:rsidR="00705FAC">
        <w:rPr>
          <w:lang w:val="en-CA"/>
        </w:rPr>
        <w:t xml:space="preserve"> (1981) was used for </w:t>
      </w:r>
      <w:r w:rsidR="00DF1D9A">
        <w:rPr>
          <w:lang w:val="en-CA"/>
        </w:rPr>
        <w:t>analyzing dissolved ozone</w:t>
      </w:r>
      <w:r w:rsidR="00541694">
        <w:rPr>
          <w:lang w:val="en-CA"/>
        </w:rPr>
        <w:t>; as no exact temperature is given, T = 294 K is assumed for room temperature</w:t>
      </w:r>
      <w:r w:rsidR="00705FAC">
        <w:rPr>
          <w:lang w:val="en-CA"/>
        </w:rPr>
        <w:t>.</w:t>
      </w:r>
    </w:p>
    <w:p w:rsidR="00FC186E" w:rsidRPr="00893259" w:rsidRDefault="00FC186E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F224B" w:rsidRPr="002B69B0" w:rsidTr="00604D2C">
        <w:tc>
          <w:tcPr>
            <w:tcW w:w="2059" w:type="dxa"/>
          </w:tcPr>
          <w:p w:rsidR="00AF224B" w:rsidRPr="004901BF" w:rsidRDefault="00AF224B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AF224B" w:rsidRDefault="00AF224B" w:rsidP="00C626E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lang w:val="en-GB"/>
              </w:rPr>
              <w:t>3.</w:t>
            </w:r>
            <w:r w:rsidR="00C626E5">
              <w:rPr>
                <w:rFonts w:eastAsia="Symbol" w:cs="Symbol"/>
                <w:lang w:val="en-GB"/>
              </w:rPr>
              <w:t>0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</w:tcPr>
          <w:p w:rsidR="00AF224B" w:rsidRPr="002B69B0" w:rsidRDefault="0054169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AF224B" w:rsidRPr="002B69B0" w:rsidTr="00604D2C">
        <w:tc>
          <w:tcPr>
            <w:tcW w:w="2059" w:type="dxa"/>
          </w:tcPr>
          <w:p w:rsidR="00AF224B" w:rsidRPr="002B69B0" w:rsidRDefault="00AF224B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AF224B" w:rsidRPr="002B69B0" w:rsidRDefault="00AF224B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AF224B" w:rsidRPr="002B69B0" w:rsidRDefault="00AF224B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EF6281" w:rsidP="00AB314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F6281">
              <w:rPr>
                <w:rFonts w:ascii="Times New Roman" w:hAnsi="Times New Roman" w:cs="Times New Roman"/>
                <w:color w:val="000000"/>
                <w:szCs w:val="20"/>
                <w:lang w:val="en-US" w:eastAsia="de-DE"/>
              </w:rPr>
              <w:t>±0.</w:t>
            </w:r>
            <w:r w:rsidR="00B02C67">
              <w:rPr>
                <w:rFonts w:ascii="Times New Roman" w:hAnsi="Times New Roman" w:cs="Times New Roman"/>
                <w:color w:val="000000"/>
                <w:szCs w:val="2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54169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 w:eastAsia="de-DE"/>
              </w:rPr>
              <w:t>294</w:t>
            </w:r>
          </w:p>
        </w:tc>
      </w:tr>
    </w:tbl>
    <w:p w:rsidR="00EF6281" w:rsidRDefault="00EF6281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</w:p>
    <w:p w:rsidR="00F432C3" w:rsidRDefault="00F432C3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lastRenderedPageBreak/>
        <w:t>Comments on Preferred Values</w:t>
      </w:r>
    </w:p>
    <w:p w:rsidR="00450818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3F4AF1" w:rsidRPr="00EF6281" w:rsidRDefault="004E3BDF" w:rsidP="004E3BD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  <w:r w:rsidRPr="000213AE">
        <w:rPr>
          <w:spacing w:val="-3"/>
          <w:lang w:val="en-US"/>
        </w:rPr>
        <w:t xml:space="preserve">The rate </w:t>
      </w:r>
      <w:r w:rsidR="00F37ED7">
        <w:rPr>
          <w:spacing w:val="-3"/>
          <w:lang w:val="en-US"/>
        </w:rPr>
        <w:t>coefficient</w:t>
      </w:r>
      <w:r w:rsidRPr="000213AE">
        <w:rPr>
          <w:spacing w:val="-3"/>
          <w:lang w:val="en-US"/>
        </w:rPr>
        <w:t xml:space="preserve"> determined by </w:t>
      </w:r>
      <w:proofErr w:type="spellStart"/>
      <w:r w:rsidRPr="000213AE">
        <w:rPr>
          <w:spacing w:val="-3"/>
          <w:lang w:val="en-US"/>
        </w:rPr>
        <w:t>Acero</w:t>
      </w:r>
      <w:proofErr w:type="spellEnd"/>
      <w:r w:rsidRPr="000213AE">
        <w:rPr>
          <w:spacing w:val="-3"/>
          <w:lang w:val="en-US"/>
        </w:rPr>
        <w:t xml:space="preserve"> et al. (2003) is the only </w:t>
      </w:r>
      <w:r w:rsidR="00F432C3">
        <w:rPr>
          <w:spacing w:val="-3"/>
          <w:lang w:val="en-US"/>
        </w:rPr>
        <w:t xml:space="preserve">one </w:t>
      </w:r>
      <w:r w:rsidRPr="000213AE">
        <w:rPr>
          <w:spacing w:val="-3"/>
          <w:lang w:val="en-US"/>
        </w:rPr>
        <w:t xml:space="preserve">available so far. </w:t>
      </w:r>
      <w:r w:rsidR="00F37ED7" w:rsidRPr="000213AE">
        <w:rPr>
          <w:spacing w:val="-3"/>
          <w:lang w:val="en-US"/>
        </w:rPr>
        <w:t>Therefore,</w:t>
      </w:r>
      <w:r w:rsidRPr="000213AE">
        <w:rPr>
          <w:spacing w:val="-3"/>
          <w:lang w:val="en-US"/>
        </w:rPr>
        <w:t xml:space="preserve"> it is suggested to follow this value.</w:t>
      </w:r>
      <w:r w:rsidR="00EF6281" w:rsidRPr="000213AE">
        <w:rPr>
          <w:spacing w:val="-3"/>
          <w:lang w:val="en-US"/>
        </w:rPr>
        <w:t xml:space="preserve"> The </w:t>
      </w:r>
      <w:r w:rsidR="00F37ED7">
        <w:rPr>
          <w:spacing w:val="-3"/>
          <w:lang w:val="en-US"/>
        </w:rPr>
        <w:t>uncertainty</w:t>
      </w:r>
      <w:r w:rsidR="00EF6281" w:rsidRPr="000213AE">
        <w:rPr>
          <w:spacing w:val="-3"/>
          <w:lang w:val="en-US"/>
        </w:rPr>
        <w:t xml:space="preserve"> of this determination is estimated as ±</w:t>
      </w:r>
      <w:r w:rsidR="00C626E5" w:rsidRPr="000213AE">
        <w:rPr>
          <w:spacing w:val="-3"/>
          <w:lang w:val="en-US"/>
        </w:rPr>
        <w:t>33</w:t>
      </w:r>
      <w:r w:rsidR="00EF6281" w:rsidRPr="000213AE">
        <w:rPr>
          <w:spacing w:val="-3"/>
          <w:lang w:val="en-US"/>
        </w:rPr>
        <w:t xml:space="preserve">% or Δ log </w:t>
      </w:r>
      <w:r w:rsidR="00EF6281" w:rsidRPr="000213AE">
        <w:rPr>
          <w:i/>
          <w:spacing w:val="-3"/>
          <w:lang w:val="en-US"/>
        </w:rPr>
        <w:t>k</w:t>
      </w:r>
      <w:r w:rsidR="00EF6281" w:rsidRPr="000213AE">
        <w:rPr>
          <w:spacing w:val="-3"/>
          <w:lang w:val="en-US"/>
        </w:rPr>
        <w:t xml:space="preserve"> = 0.</w:t>
      </w:r>
      <w:r w:rsidR="00C626E5" w:rsidRPr="000213AE">
        <w:rPr>
          <w:spacing w:val="-3"/>
          <w:lang w:val="en-US"/>
        </w:rPr>
        <w:t>15</w:t>
      </w:r>
      <w:r w:rsidR="00EF6281" w:rsidRPr="000213AE">
        <w:rPr>
          <w:spacing w:val="-3"/>
          <w:lang w:val="en-US"/>
        </w:rPr>
        <w:t>.</w:t>
      </w:r>
      <w:r w:rsidR="000213AE" w:rsidRPr="000213AE">
        <w:rPr>
          <w:spacing w:val="-3"/>
          <w:lang w:val="en-US"/>
        </w:rPr>
        <w:t xml:space="preserve"> </w:t>
      </w:r>
      <w:r w:rsidR="000213AE" w:rsidRPr="000213AE">
        <w:rPr>
          <w:rFonts w:eastAsia="Symbol"/>
          <w:color w:val="000000"/>
          <w:lang w:eastAsia="de-DE"/>
        </w:rPr>
        <w:t>It should be</w:t>
      </w:r>
      <w:r w:rsidR="000213AE">
        <w:rPr>
          <w:rFonts w:eastAsia="Symbol"/>
          <w:color w:val="000000"/>
          <w:lang w:eastAsia="de-DE"/>
        </w:rPr>
        <w:t xml:space="preserve"> noted that this rate coefficient refers to room temperature, which we estimate as T = 294 K.</w:t>
      </w:r>
    </w:p>
    <w:p w:rsidR="00DB2748" w:rsidRPr="00404CD3" w:rsidRDefault="00DB274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EF6281" w:rsidRDefault="00EF628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F73E6C" w:rsidRDefault="00AF224B" w:rsidP="00A91F89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proofErr w:type="spellStart"/>
      <w:r w:rsidRPr="00AF224B">
        <w:rPr>
          <w:spacing w:val="-3"/>
          <w:lang w:val="en-US"/>
        </w:rPr>
        <w:t>Acero</w:t>
      </w:r>
      <w:proofErr w:type="spellEnd"/>
      <w:r w:rsidRPr="00AF224B">
        <w:rPr>
          <w:spacing w:val="-3"/>
          <w:lang w:val="en-US"/>
        </w:rPr>
        <w:t xml:space="preserve">, J. L., </w:t>
      </w:r>
      <w:proofErr w:type="spellStart"/>
      <w:r w:rsidRPr="00AF224B">
        <w:rPr>
          <w:spacing w:val="-3"/>
          <w:lang w:val="en-US"/>
        </w:rPr>
        <w:t>Haderlein</w:t>
      </w:r>
      <w:proofErr w:type="spellEnd"/>
      <w:r w:rsidRPr="00AF224B">
        <w:rPr>
          <w:spacing w:val="-3"/>
          <w:lang w:val="en-US"/>
        </w:rPr>
        <w:t xml:space="preserve">, S. B., Schmidt, T. C., Suter, M. J. F. and von </w:t>
      </w:r>
      <w:proofErr w:type="spellStart"/>
      <w:r w:rsidRPr="00AF224B">
        <w:rPr>
          <w:spacing w:val="-3"/>
          <w:lang w:val="en-US"/>
        </w:rPr>
        <w:t>Gunten</w:t>
      </w:r>
      <w:proofErr w:type="spellEnd"/>
      <w:r w:rsidRPr="00AF224B">
        <w:rPr>
          <w:spacing w:val="-3"/>
          <w:lang w:val="en-US"/>
        </w:rPr>
        <w:t>, U.: Environ. Sci. Technol., 35(21), 4252-4259, 2001.</w:t>
      </w:r>
    </w:p>
    <w:p w:rsidR="00AF224B" w:rsidRDefault="00AF224B" w:rsidP="00A91F89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F73E6C" w:rsidRDefault="00AF224B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AF224B">
        <w:rPr>
          <w:spacing w:val="-3"/>
          <w:lang w:val="en-US"/>
        </w:rPr>
        <w:t xml:space="preserve">Bader, H. and </w:t>
      </w:r>
      <w:proofErr w:type="spellStart"/>
      <w:r w:rsidRPr="00AF224B">
        <w:rPr>
          <w:spacing w:val="-3"/>
          <w:lang w:val="en-US"/>
        </w:rPr>
        <w:t>Hoigné</w:t>
      </w:r>
      <w:proofErr w:type="spellEnd"/>
      <w:r w:rsidRPr="00AF224B">
        <w:rPr>
          <w:spacing w:val="-3"/>
          <w:lang w:val="en-US"/>
        </w:rPr>
        <w:t>, J.: Water Res., 15(4), 449-456, 1981.</w:t>
      </w:r>
    </w:p>
    <w:p w:rsidR="00AF224B" w:rsidRDefault="00AF224B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0B76D1" w:rsidRPr="00C94ED5" w:rsidRDefault="00AF224B" w:rsidP="00AF224B">
      <w:pPr>
        <w:tabs>
          <w:tab w:val="left" w:pos="288"/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en-US"/>
        </w:rPr>
      </w:pPr>
      <w:r w:rsidRPr="00AF224B">
        <w:rPr>
          <w:spacing w:val="-3"/>
          <w:lang w:val="en-US"/>
        </w:rPr>
        <w:t>Doussin, J. F., and Monod, A.: Atmos. Chem. Phys., 13(23), 11625-11641, 2013.</w:t>
      </w:r>
    </w:p>
    <w:sectPr w:rsidR="000B76D1" w:rsidRPr="00C94ED5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13AE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B76D1"/>
    <w:rsid w:val="000C2D6F"/>
    <w:rsid w:val="000C3CAA"/>
    <w:rsid w:val="000C4390"/>
    <w:rsid w:val="000C7F9F"/>
    <w:rsid w:val="000D16E7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AC9"/>
    <w:rsid w:val="001318D0"/>
    <w:rsid w:val="00133FEA"/>
    <w:rsid w:val="00145C54"/>
    <w:rsid w:val="00152FD9"/>
    <w:rsid w:val="00153BFD"/>
    <w:rsid w:val="001574B6"/>
    <w:rsid w:val="00157A3A"/>
    <w:rsid w:val="001637C3"/>
    <w:rsid w:val="0018490C"/>
    <w:rsid w:val="00192FCA"/>
    <w:rsid w:val="00195B6D"/>
    <w:rsid w:val="00197003"/>
    <w:rsid w:val="001977C2"/>
    <w:rsid w:val="001A1912"/>
    <w:rsid w:val="001B27BC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63497"/>
    <w:rsid w:val="00266D30"/>
    <w:rsid w:val="0027580C"/>
    <w:rsid w:val="002837BB"/>
    <w:rsid w:val="00284087"/>
    <w:rsid w:val="002862D6"/>
    <w:rsid w:val="002952DE"/>
    <w:rsid w:val="002979B8"/>
    <w:rsid w:val="002A0307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25D6F"/>
    <w:rsid w:val="003263B4"/>
    <w:rsid w:val="00336897"/>
    <w:rsid w:val="003515B2"/>
    <w:rsid w:val="00352F06"/>
    <w:rsid w:val="003570CC"/>
    <w:rsid w:val="003610F8"/>
    <w:rsid w:val="0036323E"/>
    <w:rsid w:val="00390D27"/>
    <w:rsid w:val="003A2660"/>
    <w:rsid w:val="003A3A5A"/>
    <w:rsid w:val="003A5A2D"/>
    <w:rsid w:val="003A6F03"/>
    <w:rsid w:val="003A71F8"/>
    <w:rsid w:val="003B37E9"/>
    <w:rsid w:val="003B72AC"/>
    <w:rsid w:val="003C0ACC"/>
    <w:rsid w:val="003D0949"/>
    <w:rsid w:val="003D1543"/>
    <w:rsid w:val="003F1CCB"/>
    <w:rsid w:val="003F37D0"/>
    <w:rsid w:val="003F4AF1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2E14"/>
    <w:rsid w:val="00443E37"/>
    <w:rsid w:val="004450AB"/>
    <w:rsid w:val="00447665"/>
    <w:rsid w:val="00450818"/>
    <w:rsid w:val="004513F5"/>
    <w:rsid w:val="00455EA0"/>
    <w:rsid w:val="00474ABF"/>
    <w:rsid w:val="00484C52"/>
    <w:rsid w:val="00486CBB"/>
    <w:rsid w:val="004A407F"/>
    <w:rsid w:val="004A7BA6"/>
    <w:rsid w:val="004B3308"/>
    <w:rsid w:val="004C3213"/>
    <w:rsid w:val="004C4D3E"/>
    <w:rsid w:val="004C6446"/>
    <w:rsid w:val="004E3BDF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3DB5"/>
    <w:rsid w:val="00515086"/>
    <w:rsid w:val="00522F3B"/>
    <w:rsid w:val="0052608B"/>
    <w:rsid w:val="00541694"/>
    <w:rsid w:val="00541F5E"/>
    <w:rsid w:val="005424C6"/>
    <w:rsid w:val="005520CF"/>
    <w:rsid w:val="00560013"/>
    <w:rsid w:val="00565A6E"/>
    <w:rsid w:val="0056699C"/>
    <w:rsid w:val="00571A09"/>
    <w:rsid w:val="0057662D"/>
    <w:rsid w:val="00596558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D2C"/>
    <w:rsid w:val="00613C73"/>
    <w:rsid w:val="00615583"/>
    <w:rsid w:val="00636A12"/>
    <w:rsid w:val="0063704E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D2807"/>
    <w:rsid w:val="006D5DBD"/>
    <w:rsid w:val="006D6759"/>
    <w:rsid w:val="006E1881"/>
    <w:rsid w:val="00700A63"/>
    <w:rsid w:val="00701B76"/>
    <w:rsid w:val="00702C8F"/>
    <w:rsid w:val="00703732"/>
    <w:rsid w:val="00705FAC"/>
    <w:rsid w:val="007064B6"/>
    <w:rsid w:val="00710305"/>
    <w:rsid w:val="0071369E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3E3"/>
    <w:rsid w:val="007A2D7C"/>
    <w:rsid w:val="007A3298"/>
    <w:rsid w:val="007A5562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DF8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1C63"/>
    <w:rsid w:val="008D271F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7E5E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D0E6A"/>
    <w:rsid w:val="00AD4544"/>
    <w:rsid w:val="00AE593B"/>
    <w:rsid w:val="00AF224B"/>
    <w:rsid w:val="00AF2E74"/>
    <w:rsid w:val="00AF43D2"/>
    <w:rsid w:val="00AF52EF"/>
    <w:rsid w:val="00B01FBD"/>
    <w:rsid w:val="00B02C67"/>
    <w:rsid w:val="00B12B55"/>
    <w:rsid w:val="00B20C78"/>
    <w:rsid w:val="00B228B1"/>
    <w:rsid w:val="00B3156D"/>
    <w:rsid w:val="00B35123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F2B4D"/>
    <w:rsid w:val="00C00643"/>
    <w:rsid w:val="00C013BC"/>
    <w:rsid w:val="00C10304"/>
    <w:rsid w:val="00C11A68"/>
    <w:rsid w:val="00C17A31"/>
    <w:rsid w:val="00C22890"/>
    <w:rsid w:val="00C25093"/>
    <w:rsid w:val="00C568C5"/>
    <w:rsid w:val="00C57B22"/>
    <w:rsid w:val="00C60D61"/>
    <w:rsid w:val="00C626E5"/>
    <w:rsid w:val="00C648E1"/>
    <w:rsid w:val="00C67934"/>
    <w:rsid w:val="00C70E23"/>
    <w:rsid w:val="00C716CC"/>
    <w:rsid w:val="00C72D3C"/>
    <w:rsid w:val="00C75688"/>
    <w:rsid w:val="00C85115"/>
    <w:rsid w:val="00C90C97"/>
    <w:rsid w:val="00C90E43"/>
    <w:rsid w:val="00C94795"/>
    <w:rsid w:val="00C94ED5"/>
    <w:rsid w:val="00CB0B81"/>
    <w:rsid w:val="00CD1F98"/>
    <w:rsid w:val="00CD27A8"/>
    <w:rsid w:val="00CE2122"/>
    <w:rsid w:val="00CE24B0"/>
    <w:rsid w:val="00D03ACE"/>
    <w:rsid w:val="00D12D39"/>
    <w:rsid w:val="00D17C09"/>
    <w:rsid w:val="00D17F0E"/>
    <w:rsid w:val="00D2355F"/>
    <w:rsid w:val="00D249E0"/>
    <w:rsid w:val="00D25403"/>
    <w:rsid w:val="00D37F05"/>
    <w:rsid w:val="00D455A8"/>
    <w:rsid w:val="00D4710E"/>
    <w:rsid w:val="00D54A80"/>
    <w:rsid w:val="00D557B7"/>
    <w:rsid w:val="00D57222"/>
    <w:rsid w:val="00D57669"/>
    <w:rsid w:val="00D71212"/>
    <w:rsid w:val="00D73025"/>
    <w:rsid w:val="00D76D1B"/>
    <w:rsid w:val="00D77C1D"/>
    <w:rsid w:val="00D91F7F"/>
    <w:rsid w:val="00D93016"/>
    <w:rsid w:val="00DB2748"/>
    <w:rsid w:val="00DB53BB"/>
    <w:rsid w:val="00DB6F16"/>
    <w:rsid w:val="00DD1D44"/>
    <w:rsid w:val="00DD5CB6"/>
    <w:rsid w:val="00DE09D1"/>
    <w:rsid w:val="00DE439D"/>
    <w:rsid w:val="00DF1D9A"/>
    <w:rsid w:val="00DF64B2"/>
    <w:rsid w:val="00DF6645"/>
    <w:rsid w:val="00E00EDD"/>
    <w:rsid w:val="00E016CB"/>
    <w:rsid w:val="00E02483"/>
    <w:rsid w:val="00E16CA4"/>
    <w:rsid w:val="00E204AF"/>
    <w:rsid w:val="00E25E48"/>
    <w:rsid w:val="00E40753"/>
    <w:rsid w:val="00E50B31"/>
    <w:rsid w:val="00E54FE8"/>
    <w:rsid w:val="00E55CFC"/>
    <w:rsid w:val="00E5686D"/>
    <w:rsid w:val="00E63EE2"/>
    <w:rsid w:val="00E75E9C"/>
    <w:rsid w:val="00E82DB1"/>
    <w:rsid w:val="00E87F7C"/>
    <w:rsid w:val="00E913D0"/>
    <w:rsid w:val="00E91A77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EF4D85"/>
    <w:rsid w:val="00EF6281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37ED7"/>
    <w:rsid w:val="00F4154B"/>
    <w:rsid w:val="00F432C3"/>
    <w:rsid w:val="00F51B21"/>
    <w:rsid w:val="00F55117"/>
    <w:rsid w:val="00F62CD4"/>
    <w:rsid w:val="00F64725"/>
    <w:rsid w:val="00F726F5"/>
    <w:rsid w:val="00F73E6C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3DE25"/>
  <w15:chartTrackingRefBased/>
  <w15:docId w15:val="{03D49AD9-A13B-4FA4-8049-74B2805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B02C6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2C67"/>
    <w:rPr>
      <w:sz w:val="20"/>
      <w:szCs w:val="20"/>
    </w:rPr>
  </w:style>
  <w:style w:type="character" w:customStyle="1" w:styleId="KommentartextZchn">
    <w:name w:val="Kommentartext Zchn"/>
    <w:link w:val="Kommentartext"/>
    <w:rsid w:val="00B02C67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02C67"/>
    <w:rPr>
      <w:b/>
      <w:bCs/>
    </w:rPr>
  </w:style>
  <w:style w:type="character" w:customStyle="1" w:styleId="KommentarthemaZchn">
    <w:name w:val="Kommentarthema Zchn"/>
    <w:link w:val="Kommentarthema"/>
    <w:rsid w:val="00B02C67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2423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2018-05-29T09:55:00Z</cp:lastPrinted>
  <dcterms:created xsi:type="dcterms:W3CDTF">2020-01-15T14:17:00Z</dcterms:created>
  <dcterms:modified xsi:type="dcterms:W3CDTF">2020-01-15T14:18:00Z</dcterms:modified>
</cp:coreProperties>
</file>