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912" w:rsidRDefault="00D25403" w:rsidP="00702C8F">
      <w:pPr>
        <w:pStyle w:val="IUPACheadline"/>
      </w:pPr>
      <w:r>
        <w:t xml:space="preserve">IUPAC </w:t>
      </w:r>
      <w:r w:rsidR="001A1912" w:rsidRPr="001A1912">
        <w:rPr>
          <w:bCs/>
        </w:rPr>
        <w:t>Task Group on Atmospheric Chemical Kinetic Data Evaluation</w:t>
      </w:r>
    </w:p>
    <w:p w:rsidR="00D25403" w:rsidRDefault="001A1912" w:rsidP="00702C8F">
      <w:pPr>
        <w:pStyle w:val="IUPACheadline"/>
      </w:pPr>
      <w:r>
        <w:t xml:space="preserve"> </w:t>
      </w:r>
      <w:r w:rsidR="00D25403">
        <w:t xml:space="preserve">– Data Sheet </w:t>
      </w:r>
      <w:r w:rsidR="002A41EB">
        <w:t>AQ_OH_63</w:t>
      </w:r>
    </w:p>
    <w:p w:rsidR="007F4C67" w:rsidRPr="007F4C67" w:rsidRDefault="008A4EE3" w:rsidP="007F4C67">
      <w:pPr>
        <w:pStyle w:val="IUPACtopparagraph"/>
      </w:pPr>
      <w:r w:rsidRPr="00702C8F">
        <w:t>Datasheets</w:t>
      </w:r>
      <w:r>
        <w:t xml:space="preserve"> can be downloaded for personal use only and must not be retransmitted or disseminated either electronically or in hardcopy without explicit written permission. </w:t>
      </w:r>
      <w:r>
        <w:br/>
      </w:r>
      <w:r w:rsidR="00E55CFC" w:rsidRPr="007F4C67">
        <w:t xml:space="preserve">The citation for this datasheet is: IUPAC Task Group on Atmospheric Chemical Kinetic Data Evaluation, </w:t>
      </w:r>
      <w:hyperlink r:id="rId5" w:history="1">
        <w:r w:rsidR="00E55CFC" w:rsidRPr="007F4C67">
          <w:rPr>
            <w:rStyle w:val="Hyperlink"/>
          </w:rPr>
          <w:t>http://iupac.pole-ethe</w:t>
        </w:r>
        <w:r w:rsidR="00E55CFC" w:rsidRPr="007F4C67">
          <w:rPr>
            <w:rStyle w:val="Hyperlink"/>
          </w:rPr>
          <w:t>r</w:t>
        </w:r>
        <w:r w:rsidR="00E55CFC" w:rsidRPr="007F4C67">
          <w:rPr>
            <w:rStyle w:val="Hyperlink"/>
          </w:rPr>
          <w:t>.fr</w:t>
        </w:r>
      </w:hyperlink>
      <w:r w:rsidR="00E55CFC" w:rsidRPr="007F4C67">
        <w:t>.</w:t>
      </w:r>
    </w:p>
    <w:p w:rsidR="007F4C67" w:rsidRPr="007F4C67" w:rsidRDefault="007F4C67" w:rsidP="007F4C67">
      <w:pPr>
        <w:pStyle w:val="IUPACtopparagraph"/>
      </w:pPr>
      <w:r w:rsidRPr="007F4C67">
        <w:t xml:space="preserve">This datasheet last evaluated: </w:t>
      </w:r>
      <w:r w:rsidR="0020062E">
        <w:t>November</w:t>
      </w:r>
      <w:r w:rsidR="00AE4F4B">
        <w:t xml:space="preserve"> 2019</w:t>
      </w:r>
      <w:r w:rsidRPr="007F4C67">
        <w:t xml:space="preserve">; last change in preferred values: </w:t>
      </w:r>
      <w:r w:rsidR="00AE4F4B">
        <w:t>June 2019</w:t>
      </w:r>
    </w:p>
    <w:p w:rsidR="00604D2C" w:rsidRDefault="00604D2C" w:rsidP="00604D2C">
      <w:pPr>
        <w:pStyle w:val="IUPACTitlereaction"/>
        <w:spacing w:before="0" w:after="0"/>
        <w:rPr>
          <w:rFonts w:cs="Times New Roman"/>
          <w:lang w:val="pt-BR"/>
        </w:rPr>
      </w:pPr>
    </w:p>
    <w:p w:rsidR="00B5366F" w:rsidRDefault="00B5366F" w:rsidP="0097461A">
      <w:pPr>
        <w:ind w:left="1440" w:hanging="22"/>
        <w:rPr>
          <w:b/>
          <w:lang w:val="pt-BR"/>
        </w:rPr>
      </w:pPr>
      <w:r>
        <w:rPr>
          <w:b/>
          <w:lang w:val="pt-BR"/>
        </w:rPr>
        <w:t>H</w:t>
      </w:r>
      <w:r w:rsidRPr="00B5366F">
        <w:rPr>
          <w:b/>
          <w:vertAlign w:val="subscript"/>
          <w:lang w:val="pt-BR"/>
        </w:rPr>
        <w:t>2</w:t>
      </w:r>
      <w:r>
        <w:rPr>
          <w:b/>
          <w:lang w:val="pt-BR"/>
        </w:rPr>
        <w:t xml:space="preserve">O + </w:t>
      </w:r>
      <w:r w:rsidRPr="00455EA0">
        <w:rPr>
          <w:b/>
          <w:lang w:val="pt-BR"/>
        </w:rPr>
        <w:t>CH</w:t>
      </w:r>
      <w:r>
        <w:rPr>
          <w:b/>
          <w:vertAlign w:val="subscript"/>
          <w:lang w:val="pt-BR"/>
        </w:rPr>
        <w:t>3</w:t>
      </w:r>
      <w:r w:rsidRPr="00455EA0">
        <w:rPr>
          <w:b/>
          <w:lang w:val="pt-BR"/>
        </w:rPr>
        <w:t>(CH</w:t>
      </w:r>
      <w:r w:rsidRPr="00455EA0">
        <w:rPr>
          <w:b/>
          <w:vertAlign w:val="subscript"/>
          <w:lang w:val="pt-BR"/>
        </w:rPr>
        <w:t>2</w:t>
      </w:r>
      <w:r w:rsidRPr="00455EA0">
        <w:rPr>
          <w:b/>
          <w:lang w:val="pt-BR"/>
        </w:rPr>
        <w:t>)</w:t>
      </w:r>
      <w:r>
        <w:rPr>
          <w:b/>
          <w:vertAlign w:val="subscript"/>
          <w:lang w:val="pt-BR"/>
        </w:rPr>
        <w:t>2</w:t>
      </w:r>
      <w:r>
        <w:rPr>
          <w:b/>
          <w:lang w:val="pt-BR"/>
        </w:rPr>
        <w:t>CHO</w:t>
      </w:r>
      <w:r w:rsidR="00BE54D5" w:rsidRPr="00455EA0">
        <w:rPr>
          <w:b/>
          <w:lang w:val="pt-BR"/>
        </w:rPr>
        <w:t>(aq)</w:t>
      </w:r>
      <w:r w:rsidRPr="00455EA0">
        <w:rPr>
          <w:b/>
          <w:lang w:val="pt-BR"/>
        </w:rPr>
        <w:t xml:space="preserve"> </w:t>
      </w:r>
      <w:r w:rsidRPr="00455EA0">
        <w:rPr>
          <w:b/>
        </w:rPr>
        <w:sym w:font="Symbol" w:char="F0AE"/>
      </w:r>
      <w:r>
        <w:rPr>
          <w:b/>
        </w:rPr>
        <w:t xml:space="preserve"> </w:t>
      </w:r>
      <w:r w:rsidRPr="00455EA0">
        <w:rPr>
          <w:b/>
          <w:lang w:val="pt-BR"/>
        </w:rPr>
        <w:t>CH</w:t>
      </w:r>
      <w:r>
        <w:rPr>
          <w:b/>
          <w:vertAlign w:val="subscript"/>
          <w:lang w:val="pt-BR"/>
        </w:rPr>
        <w:t>3</w:t>
      </w:r>
      <w:r w:rsidRPr="00455EA0">
        <w:rPr>
          <w:b/>
          <w:lang w:val="pt-BR"/>
        </w:rPr>
        <w:t>(CH</w:t>
      </w:r>
      <w:r w:rsidRPr="00455EA0">
        <w:rPr>
          <w:b/>
          <w:vertAlign w:val="subscript"/>
          <w:lang w:val="pt-BR"/>
        </w:rPr>
        <w:t>2</w:t>
      </w:r>
      <w:r w:rsidRPr="00455EA0">
        <w:rPr>
          <w:b/>
          <w:lang w:val="pt-BR"/>
        </w:rPr>
        <w:t>)</w:t>
      </w:r>
      <w:r>
        <w:rPr>
          <w:b/>
          <w:vertAlign w:val="subscript"/>
          <w:lang w:val="pt-BR"/>
        </w:rPr>
        <w:t>2</w:t>
      </w:r>
      <w:r>
        <w:rPr>
          <w:b/>
          <w:lang w:val="pt-BR"/>
        </w:rPr>
        <w:t>CH(OH)</w:t>
      </w:r>
      <w:r w:rsidRPr="00B5366F">
        <w:rPr>
          <w:b/>
          <w:vertAlign w:val="subscript"/>
          <w:lang w:val="pt-BR"/>
        </w:rPr>
        <w:t>2</w:t>
      </w:r>
      <w:r w:rsidR="00BE54D5" w:rsidRPr="00455EA0">
        <w:rPr>
          <w:b/>
          <w:lang w:val="pt-BR"/>
        </w:rPr>
        <w:t>(aq)</w:t>
      </w:r>
      <w:r>
        <w:rPr>
          <w:b/>
          <w:vertAlign w:val="subscript"/>
          <w:lang w:val="pt-BR"/>
        </w:rPr>
        <w:tab/>
      </w:r>
      <w:r>
        <w:rPr>
          <w:b/>
          <w:vertAlign w:val="subscript"/>
          <w:lang w:val="pt-BR"/>
        </w:rPr>
        <w:tab/>
      </w:r>
      <w:r w:rsidRPr="00B5366F">
        <w:rPr>
          <w:b/>
          <w:lang w:val="pt-BR"/>
        </w:rPr>
        <w:t>(1)</w:t>
      </w:r>
    </w:p>
    <w:p w:rsidR="00B5366F" w:rsidRDefault="00B5366F" w:rsidP="0097461A">
      <w:pPr>
        <w:ind w:left="1440" w:hanging="22"/>
        <w:rPr>
          <w:b/>
          <w:lang w:val="pt-BR"/>
        </w:rPr>
      </w:pPr>
    </w:p>
    <w:p w:rsidR="00F726F5" w:rsidRDefault="00AE4F4B" w:rsidP="0097461A">
      <w:pPr>
        <w:ind w:left="1440" w:hanging="22"/>
        <w:rPr>
          <w:b/>
          <w:lang w:val="pt-BR"/>
        </w:rPr>
      </w:pPr>
      <w:r>
        <w:rPr>
          <w:b/>
          <w:lang w:val="pt-BR"/>
        </w:rPr>
        <w:t>HO</w:t>
      </w:r>
      <w:r w:rsidR="00F726F5" w:rsidRPr="00455EA0">
        <w:rPr>
          <w:b/>
          <w:lang w:val="pt-BR"/>
        </w:rPr>
        <w:t>(aq)</w:t>
      </w:r>
      <w:r w:rsidR="00692339" w:rsidRPr="00455EA0">
        <w:rPr>
          <w:b/>
          <w:lang w:val="pt-BR"/>
        </w:rPr>
        <w:t xml:space="preserve"> </w:t>
      </w:r>
      <w:r w:rsidR="00F726F5" w:rsidRPr="00455EA0">
        <w:rPr>
          <w:b/>
          <w:lang w:val="pt-BR"/>
        </w:rPr>
        <w:t>+</w:t>
      </w:r>
      <w:r w:rsidR="00692339" w:rsidRPr="00455EA0">
        <w:rPr>
          <w:b/>
          <w:lang w:val="pt-BR"/>
        </w:rPr>
        <w:t xml:space="preserve"> </w:t>
      </w:r>
      <w:r w:rsidR="00CA62AA" w:rsidRPr="00455EA0">
        <w:rPr>
          <w:b/>
          <w:lang w:val="pt-BR"/>
        </w:rPr>
        <w:t>CH</w:t>
      </w:r>
      <w:r w:rsidR="00CA62AA">
        <w:rPr>
          <w:b/>
          <w:vertAlign w:val="subscript"/>
          <w:lang w:val="pt-BR"/>
        </w:rPr>
        <w:t>3</w:t>
      </w:r>
      <w:r w:rsidR="007C1BA6" w:rsidRPr="00455EA0">
        <w:rPr>
          <w:b/>
          <w:lang w:val="pt-BR"/>
        </w:rPr>
        <w:t>(</w:t>
      </w:r>
      <w:r w:rsidR="00DD1D44" w:rsidRPr="00455EA0">
        <w:rPr>
          <w:b/>
          <w:lang w:val="pt-BR"/>
        </w:rPr>
        <w:t>CH</w:t>
      </w:r>
      <w:r w:rsidR="00DD1D44" w:rsidRPr="00455EA0">
        <w:rPr>
          <w:b/>
          <w:vertAlign w:val="subscript"/>
          <w:lang w:val="pt-BR"/>
        </w:rPr>
        <w:t>2</w:t>
      </w:r>
      <w:r w:rsidR="00DD1D44" w:rsidRPr="00455EA0">
        <w:rPr>
          <w:b/>
          <w:lang w:val="pt-BR"/>
        </w:rPr>
        <w:t>)</w:t>
      </w:r>
      <w:r w:rsidR="00AD4544">
        <w:rPr>
          <w:b/>
          <w:vertAlign w:val="subscript"/>
          <w:lang w:val="pt-BR"/>
        </w:rPr>
        <w:t>2</w:t>
      </w:r>
      <w:r w:rsidR="00CA62AA">
        <w:rPr>
          <w:b/>
          <w:lang w:val="pt-BR"/>
        </w:rPr>
        <w:t>CHO</w:t>
      </w:r>
      <w:r w:rsidR="006A2320" w:rsidRPr="00455EA0">
        <w:rPr>
          <w:b/>
          <w:lang w:val="pt-BR"/>
        </w:rPr>
        <w:t>(</w:t>
      </w:r>
      <w:r w:rsidR="00F726F5" w:rsidRPr="00455EA0">
        <w:rPr>
          <w:b/>
          <w:lang w:val="pt-BR"/>
        </w:rPr>
        <w:t xml:space="preserve">aq) </w:t>
      </w:r>
      <w:r w:rsidR="000701E8">
        <w:rPr>
          <w:b/>
          <w:lang w:val="pt-BR"/>
        </w:rPr>
        <w:tab/>
      </w:r>
      <w:r w:rsidR="00F726F5" w:rsidRPr="00455EA0">
        <w:rPr>
          <w:b/>
        </w:rPr>
        <w:sym w:font="Symbol" w:char="F0AE"/>
      </w:r>
      <w:r w:rsidR="000701E8">
        <w:rPr>
          <w:b/>
        </w:rPr>
        <w:t xml:space="preserve"> products</w:t>
      </w:r>
      <w:r w:rsidR="007D0479">
        <w:rPr>
          <w:b/>
        </w:rPr>
        <w:tab/>
      </w:r>
      <w:r w:rsidR="007D0479">
        <w:rPr>
          <w:b/>
        </w:rPr>
        <w:tab/>
      </w:r>
      <w:r w:rsidR="00B5366F">
        <w:rPr>
          <w:b/>
          <w:lang w:val="pt-BR"/>
        </w:rPr>
        <w:tab/>
        <w:t>(2)</w:t>
      </w:r>
    </w:p>
    <w:p w:rsidR="00B5366F" w:rsidRDefault="00AE4F4B" w:rsidP="0097461A">
      <w:pPr>
        <w:ind w:left="1440" w:hanging="22"/>
        <w:rPr>
          <w:b/>
          <w:lang w:val="pt-BR"/>
        </w:rPr>
      </w:pPr>
      <w:r>
        <w:rPr>
          <w:b/>
          <w:lang w:val="pt-BR"/>
        </w:rPr>
        <w:t>HO</w:t>
      </w:r>
      <w:r w:rsidR="00B5366F" w:rsidRPr="00455EA0">
        <w:rPr>
          <w:b/>
          <w:lang w:val="pt-BR"/>
        </w:rPr>
        <w:t>(aq) + CH</w:t>
      </w:r>
      <w:r w:rsidR="00B5366F">
        <w:rPr>
          <w:b/>
          <w:vertAlign w:val="subscript"/>
          <w:lang w:val="pt-BR"/>
        </w:rPr>
        <w:t>3</w:t>
      </w:r>
      <w:r w:rsidR="00B5366F" w:rsidRPr="00455EA0">
        <w:rPr>
          <w:b/>
          <w:lang w:val="pt-BR"/>
        </w:rPr>
        <w:t>(CH</w:t>
      </w:r>
      <w:r w:rsidR="00B5366F" w:rsidRPr="00455EA0">
        <w:rPr>
          <w:b/>
          <w:vertAlign w:val="subscript"/>
          <w:lang w:val="pt-BR"/>
        </w:rPr>
        <w:t>2</w:t>
      </w:r>
      <w:r w:rsidR="00B5366F" w:rsidRPr="00455EA0">
        <w:rPr>
          <w:b/>
          <w:lang w:val="pt-BR"/>
        </w:rPr>
        <w:t>)</w:t>
      </w:r>
      <w:r w:rsidR="00B5366F">
        <w:rPr>
          <w:b/>
          <w:vertAlign w:val="subscript"/>
          <w:lang w:val="pt-BR"/>
        </w:rPr>
        <w:t>2</w:t>
      </w:r>
      <w:r w:rsidR="00B5366F">
        <w:rPr>
          <w:b/>
          <w:lang w:val="pt-BR"/>
        </w:rPr>
        <w:t>CH(OH)</w:t>
      </w:r>
      <w:r w:rsidR="00B5366F" w:rsidRPr="00B5366F">
        <w:rPr>
          <w:b/>
          <w:vertAlign w:val="subscript"/>
          <w:lang w:val="pt-BR"/>
        </w:rPr>
        <w:t>2</w:t>
      </w:r>
      <w:r w:rsidR="00B5366F">
        <w:rPr>
          <w:b/>
          <w:lang w:val="pt-BR"/>
        </w:rPr>
        <w:t>(aq)</w:t>
      </w:r>
      <w:r w:rsidR="00B5366F" w:rsidRPr="00455EA0">
        <w:rPr>
          <w:b/>
          <w:lang w:val="pt-BR"/>
        </w:rPr>
        <w:t xml:space="preserve"> </w:t>
      </w:r>
      <w:r w:rsidR="00B5366F" w:rsidRPr="00455EA0">
        <w:rPr>
          <w:b/>
        </w:rPr>
        <w:sym w:font="Symbol" w:char="F0AE"/>
      </w:r>
      <w:r w:rsidR="00B5366F" w:rsidRPr="00455EA0">
        <w:rPr>
          <w:b/>
          <w:lang w:val="pt-BR"/>
        </w:rPr>
        <w:t xml:space="preserve"> </w:t>
      </w:r>
      <w:r w:rsidR="00B5366F">
        <w:rPr>
          <w:b/>
          <w:lang w:val="pt-BR"/>
        </w:rPr>
        <w:t>products</w:t>
      </w:r>
      <w:r w:rsidR="00B5366F">
        <w:rPr>
          <w:b/>
          <w:lang w:val="pt-BR"/>
        </w:rPr>
        <w:tab/>
      </w:r>
      <w:r w:rsidR="00B5366F">
        <w:rPr>
          <w:b/>
          <w:lang w:val="pt-BR"/>
        </w:rPr>
        <w:tab/>
      </w:r>
      <w:r w:rsidR="00BE54D5">
        <w:rPr>
          <w:b/>
          <w:lang w:val="pt-BR"/>
        </w:rPr>
        <w:tab/>
      </w:r>
      <w:r w:rsidR="00B5366F">
        <w:rPr>
          <w:b/>
          <w:lang w:val="pt-BR"/>
        </w:rPr>
        <w:t>(3)</w:t>
      </w:r>
    </w:p>
    <w:p w:rsidR="00B5366F" w:rsidRPr="00455EA0" w:rsidRDefault="00B5366F" w:rsidP="00455EA0">
      <w:pPr>
        <w:ind w:left="1440"/>
        <w:jc w:val="center"/>
        <w:rPr>
          <w:b/>
          <w:lang w:val="pt-BR"/>
        </w:rPr>
      </w:pPr>
    </w:p>
    <w:p w:rsidR="00842FAF" w:rsidRDefault="00842FAF" w:rsidP="00842FAF">
      <w:pPr>
        <w:tabs>
          <w:tab w:val="left" w:pos="0"/>
          <w:tab w:val="left" w:pos="288"/>
          <w:tab w:val="left" w:pos="720"/>
        </w:tabs>
        <w:suppressAutoHyphens/>
        <w:spacing w:line="240" w:lineRule="atLeast"/>
        <w:jc w:val="both"/>
      </w:pPr>
    </w:p>
    <w:p w:rsidR="00F726F5" w:rsidRPr="00F726F5" w:rsidRDefault="00F726F5" w:rsidP="00F726F5">
      <w:pPr>
        <w:tabs>
          <w:tab w:val="center" w:pos="4680"/>
        </w:tabs>
        <w:suppressAutoHyphens/>
        <w:spacing w:line="240" w:lineRule="atLeast"/>
        <w:jc w:val="center"/>
        <w:rPr>
          <w:spacing w:val="-3"/>
          <w:lang w:val="en-US"/>
        </w:rPr>
      </w:pPr>
      <w:r>
        <w:rPr>
          <w:b/>
          <w:spacing w:val="-3"/>
          <w:lang w:val="en-US"/>
        </w:rPr>
        <w:t>Rate coefficient data</w:t>
      </w:r>
    </w:p>
    <w:p w:rsidR="00C648E1" w:rsidRDefault="00C648E1" w:rsidP="00C648E1">
      <w:pPr>
        <w:tabs>
          <w:tab w:val="left" w:pos="0"/>
          <w:tab w:val="left" w:pos="288"/>
          <w:tab w:val="left" w:pos="720"/>
        </w:tabs>
        <w:suppressAutoHyphens/>
        <w:spacing w:line="240" w:lineRule="atLeast"/>
        <w:jc w:val="both"/>
        <w:rPr>
          <w:spacing w:val="-3"/>
          <w:lang w:val="en-US"/>
        </w:rPr>
      </w:pPr>
    </w:p>
    <w:tbl>
      <w:tblPr>
        <w:tblW w:w="9303" w:type="dxa"/>
        <w:tblBorders>
          <w:top w:val="double" w:sz="4" w:space="0" w:color="auto"/>
          <w:bottom w:val="single" w:sz="4" w:space="0" w:color="auto"/>
          <w:insideH w:val="single" w:sz="4" w:space="0" w:color="auto"/>
        </w:tblBorders>
        <w:tblLayout w:type="fixed"/>
        <w:tblLook w:val="0000" w:firstRow="0" w:lastRow="0" w:firstColumn="0" w:lastColumn="0" w:noHBand="0" w:noVBand="0"/>
      </w:tblPr>
      <w:tblGrid>
        <w:gridCol w:w="2518"/>
        <w:gridCol w:w="992"/>
        <w:gridCol w:w="1134"/>
        <w:gridCol w:w="1134"/>
        <w:gridCol w:w="1843"/>
        <w:gridCol w:w="1667"/>
        <w:gridCol w:w="15"/>
      </w:tblGrid>
      <w:tr w:rsidR="00C648E1" w:rsidRPr="00AE4F4B" w:rsidTr="00AE4F4B">
        <w:tblPrEx>
          <w:tblCellMar>
            <w:top w:w="0" w:type="dxa"/>
            <w:bottom w:w="0" w:type="dxa"/>
          </w:tblCellMar>
        </w:tblPrEx>
        <w:tc>
          <w:tcPr>
            <w:tcW w:w="2518" w:type="dxa"/>
            <w:tcBorders>
              <w:top w:val="double" w:sz="4" w:space="0" w:color="auto"/>
              <w:right w:val="nil"/>
            </w:tcBorders>
            <w:vAlign w:val="center"/>
          </w:tcPr>
          <w:p w:rsidR="00C648E1" w:rsidRPr="00AE4F4B" w:rsidRDefault="00C648E1" w:rsidP="00D12D39">
            <w:pPr>
              <w:suppressAutoHyphens/>
              <w:spacing w:before="120" w:after="120" w:line="264" w:lineRule="auto"/>
              <w:jc w:val="center"/>
              <w:rPr>
                <w:rFonts w:ascii="Times New Roman" w:hAnsi="Times New Roman" w:cs="Times New Roman"/>
                <w:spacing w:val="-2"/>
                <w:lang w:val="en-US"/>
              </w:rPr>
            </w:pPr>
            <w:r w:rsidRPr="00AE4F4B">
              <w:rPr>
                <w:rFonts w:ascii="Times New Roman" w:hAnsi="Times New Roman" w:cs="Times New Roman"/>
                <w:spacing w:val="-2"/>
                <w:lang w:val="en-US"/>
              </w:rPr>
              <w:t xml:space="preserve">k/ </w:t>
            </w:r>
            <w:r w:rsidR="00D12D39" w:rsidRPr="00AE4F4B">
              <w:rPr>
                <w:rFonts w:ascii="Times New Roman" w:hAnsi="Times New Roman" w:cs="Times New Roman"/>
                <w:spacing w:val="-2"/>
                <w:lang w:val="en-US"/>
              </w:rPr>
              <w:t>L</w:t>
            </w:r>
            <w:r w:rsidRPr="00AE4F4B">
              <w:rPr>
                <w:rFonts w:ascii="Times New Roman" w:hAnsi="Times New Roman" w:cs="Times New Roman"/>
                <w:spacing w:val="-2"/>
                <w:lang w:val="en-US"/>
              </w:rPr>
              <w:t xml:space="preserve"> mol</w:t>
            </w:r>
            <w:r w:rsidRPr="00AE4F4B">
              <w:rPr>
                <w:rFonts w:ascii="Times New Roman" w:hAnsi="Times New Roman" w:cs="Times New Roman"/>
                <w:spacing w:val="-2"/>
                <w:vertAlign w:val="superscript"/>
                <w:lang w:val="en-US"/>
              </w:rPr>
              <w:t>-1</w:t>
            </w:r>
            <w:r w:rsidRPr="00AE4F4B">
              <w:rPr>
                <w:rFonts w:ascii="Times New Roman" w:hAnsi="Times New Roman" w:cs="Times New Roman"/>
                <w:spacing w:val="-2"/>
                <w:lang w:val="en-US"/>
              </w:rPr>
              <w:t xml:space="preserve"> s</w:t>
            </w:r>
            <w:r w:rsidRPr="00AE4F4B">
              <w:rPr>
                <w:rFonts w:ascii="Times New Roman" w:hAnsi="Times New Roman" w:cs="Times New Roman"/>
                <w:spacing w:val="-2"/>
                <w:vertAlign w:val="superscript"/>
                <w:lang w:val="en-US"/>
              </w:rPr>
              <w:t>-1</w:t>
            </w:r>
          </w:p>
        </w:tc>
        <w:tc>
          <w:tcPr>
            <w:tcW w:w="992" w:type="dxa"/>
            <w:tcBorders>
              <w:top w:val="double" w:sz="4" w:space="0" w:color="auto"/>
              <w:left w:val="nil"/>
              <w:right w:val="nil"/>
            </w:tcBorders>
            <w:vAlign w:val="center"/>
          </w:tcPr>
          <w:p w:rsidR="00C648E1" w:rsidRPr="00AE4F4B" w:rsidRDefault="00C648E1" w:rsidP="004E7108">
            <w:pPr>
              <w:suppressAutoHyphens/>
              <w:spacing w:before="120" w:after="120" w:line="264" w:lineRule="auto"/>
              <w:jc w:val="center"/>
              <w:rPr>
                <w:rFonts w:ascii="Times New Roman" w:hAnsi="Times New Roman" w:cs="Times New Roman"/>
                <w:spacing w:val="-2"/>
                <w:lang w:val="en-US"/>
              </w:rPr>
            </w:pPr>
            <w:r w:rsidRPr="00AE4F4B">
              <w:rPr>
                <w:rFonts w:ascii="Times New Roman" w:hAnsi="Times New Roman" w:cs="Times New Roman"/>
                <w:iCs/>
                <w:spacing w:val="-2"/>
                <w:lang w:val="en-US"/>
              </w:rPr>
              <w:t>T</w:t>
            </w:r>
            <w:r w:rsidRPr="00AE4F4B">
              <w:rPr>
                <w:rFonts w:ascii="Times New Roman" w:hAnsi="Times New Roman" w:cs="Times New Roman"/>
                <w:spacing w:val="-2"/>
                <w:lang w:val="en-US"/>
              </w:rPr>
              <w:t>/K</w:t>
            </w:r>
          </w:p>
        </w:tc>
        <w:tc>
          <w:tcPr>
            <w:tcW w:w="1134" w:type="dxa"/>
            <w:tcBorders>
              <w:top w:val="double" w:sz="4" w:space="0" w:color="auto"/>
              <w:left w:val="nil"/>
              <w:right w:val="nil"/>
            </w:tcBorders>
            <w:vAlign w:val="center"/>
          </w:tcPr>
          <w:p w:rsidR="00C648E1" w:rsidRPr="00AE4F4B" w:rsidRDefault="00C648E1" w:rsidP="004E7108">
            <w:pPr>
              <w:tabs>
                <w:tab w:val="left" w:pos="0"/>
                <w:tab w:val="left" w:pos="288"/>
                <w:tab w:val="left" w:pos="720"/>
              </w:tabs>
              <w:suppressAutoHyphens/>
              <w:spacing w:line="240" w:lineRule="atLeast"/>
              <w:jc w:val="center"/>
              <w:rPr>
                <w:spacing w:val="-3"/>
                <w:lang w:val="en-US"/>
              </w:rPr>
            </w:pPr>
            <w:r w:rsidRPr="00AE4F4B">
              <w:rPr>
                <w:spacing w:val="-3"/>
                <w:lang w:val="en-US"/>
              </w:rPr>
              <w:t>pH</w:t>
            </w:r>
          </w:p>
        </w:tc>
        <w:tc>
          <w:tcPr>
            <w:tcW w:w="1134" w:type="dxa"/>
            <w:tcBorders>
              <w:top w:val="double" w:sz="4" w:space="0" w:color="auto"/>
              <w:left w:val="nil"/>
              <w:right w:val="nil"/>
            </w:tcBorders>
            <w:vAlign w:val="center"/>
          </w:tcPr>
          <w:p w:rsidR="00C648E1" w:rsidRPr="00AE4F4B" w:rsidRDefault="00C648E1" w:rsidP="004E7108">
            <w:pPr>
              <w:tabs>
                <w:tab w:val="left" w:pos="0"/>
                <w:tab w:val="left" w:pos="288"/>
                <w:tab w:val="left" w:pos="720"/>
              </w:tabs>
              <w:suppressAutoHyphens/>
              <w:spacing w:line="240" w:lineRule="atLeast"/>
              <w:jc w:val="center"/>
              <w:rPr>
                <w:spacing w:val="-3"/>
                <w:lang w:val="en-US"/>
              </w:rPr>
            </w:pPr>
            <w:r w:rsidRPr="00AE4F4B">
              <w:rPr>
                <w:spacing w:val="-3"/>
                <w:lang w:val="en-US"/>
              </w:rPr>
              <w:t>I</w:t>
            </w:r>
            <w:r w:rsidRPr="00AE4F4B">
              <w:rPr>
                <w:rFonts w:ascii="Times New Roman" w:hAnsi="Times New Roman" w:cs="Times New Roman"/>
                <w:spacing w:val="-2"/>
                <w:lang w:val="en-US"/>
              </w:rPr>
              <w:t>/</w:t>
            </w:r>
            <w:r w:rsidR="00F64725" w:rsidRPr="00AE4F4B">
              <w:rPr>
                <w:rFonts w:ascii="Times New Roman" w:hAnsi="Times New Roman" w:cs="Times New Roman"/>
                <w:spacing w:val="-2"/>
                <w:lang w:val="en-US"/>
              </w:rPr>
              <w:t xml:space="preserve"> mol L</w:t>
            </w:r>
            <w:r w:rsidR="00F64725" w:rsidRPr="00AE4F4B">
              <w:rPr>
                <w:rFonts w:ascii="Times New Roman" w:hAnsi="Times New Roman" w:cs="Times New Roman"/>
                <w:spacing w:val="-2"/>
                <w:vertAlign w:val="superscript"/>
                <w:lang w:val="en-US"/>
              </w:rPr>
              <w:t>-1</w:t>
            </w:r>
          </w:p>
        </w:tc>
        <w:tc>
          <w:tcPr>
            <w:tcW w:w="1843" w:type="dxa"/>
            <w:tcBorders>
              <w:top w:val="double" w:sz="4" w:space="0" w:color="auto"/>
              <w:left w:val="nil"/>
              <w:right w:val="nil"/>
            </w:tcBorders>
            <w:vAlign w:val="center"/>
          </w:tcPr>
          <w:p w:rsidR="00C648E1" w:rsidRPr="00AE4F4B" w:rsidRDefault="00C648E1" w:rsidP="004E7108">
            <w:pPr>
              <w:pStyle w:val="berschrift2"/>
              <w:spacing w:before="120" w:after="120" w:line="240" w:lineRule="auto"/>
              <w:jc w:val="center"/>
              <w:rPr>
                <w:b w:val="0"/>
                <w:i w:val="0"/>
                <w:szCs w:val="24"/>
              </w:rPr>
            </w:pPr>
            <w:r w:rsidRPr="00AE4F4B">
              <w:rPr>
                <w:b w:val="0"/>
                <w:i w:val="0"/>
                <w:szCs w:val="24"/>
              </w:rPr>
              <w:t>Reference</w:t>
            </w:r>
          </w:p>
        </w:tc>
        <w:tc>
          <w:tcPr>
            <w:tcW w:w="1682" w:type="dxa"/>
            <w:gridSpan w:val="2"/>
            <w:tcBorders>
              <w:top w:val="double" w:sz="4" w:space="0" w:color="auto"/>
              <w:left w:val="nil"/>
            </w:tcBorders>
            <w:vAlign w:val="center"/>
          </w:tcPr>
          <w:p w:rsidR="00C648E1" w:rsidRPr="00AE4F4B" w:rsidRDefault="00C648E1" w:rsidP="004E7108">
            <w:pPr>
              <w:suppressAutoHyphens/>
              <w:spacing w:before="120" w:after="120" w:line="264" w:lineRule="auto"/>
              <w:jc w:val="center"/>
              <w:rPr>
                <w:rFonts w:ascii="Times New Roman" w:hAnsi="Times New Roman" w:cs="Times New Roman"/>
                <w:spacing w:val="-2"/>
                <w:lang w:val="en-US"/>
              </w:rPr>
            </w:pPr>
            <w:r w:rsidRPr="00AE4F4B">
              <w:rPr>
                <w:rFonts w:ascii="Times New Roman" w:hAnsi="Times New Roman" w:cs="Times New Roman"/>
                <w:spacing w:val="-2"/>
                <w:lang w:val="en-US"/>
              </w:rPr>
              <w:t>Technique/ Comments</w:t>
            </w:r>
          </w:p>
        </w:tc>
      </w:tr>
      <w:tr w:rsidR="00FA5DCA" w:rsidRPr="00B8130E" w:rsidTr="000B4C27">
        <w:tblPrEx>
          <w:tblCellMar>
            <w:top w:w="0" w:type="dxa"/>
            <w:bottom w:w="0" w:type="dxa"/>
          </w:tblCellMar>
        </w:tblPrEx>
        <w:tc>
          <w:tcPr>
            <w:tcW w:w="9303" w:type="dxa"/>
            <w:gridSpan w:val="7"/>
            <w:vAlign w:val="center"/>
          </w:tcPr>
          <w:p w:rsidR="00FA5DCA" w:rsidRPr="00B8130E" w:rsidRDefault="00FA5DCA" w:rsidP="000B4C27">
            <w:pPr>
              <w:suppressAutoHyphens/>
              <w:spacing w:before="120" w:line="264" w:lineRule="auto"/>
              <w:jc w:val="center"/>
              <w:rPr>
                <w:spacing w:val="-2"/>
              </w:rPr>
            </w:pPr>
            <w:r w:rsidRPr="00B8130E">
              <w:rPr>
                <w:i/>
                <w:spacing w:val="-2"/>
              </w:rPr>
              <w:t>Absolute Rate Coefficients</w:t>
            </w:r>
          </w:p>
        </w:tc>
      </w:tr>
      <w:tr w:rsidR="00AE4F4B" w:rsidTr="00AE4F4B">
        <w:tblPrEx>
          <w:tblCellMar>
            <w:top w:w="0" w:type="dxa"/>
            <w:bottom w:w="0" w:type="dxa"/>
          </w:tblCellMar>
          <w:tblLook w:val="01E0" w:firstRow="1" w:lastRow="1" w:firstColumn="1" w:lastColumn="1" w:noHBand="0" w:noVBand="0"/>
        </w:tblPrEx>
        <w:trPr>
          <w:gridAfter w:val="1"/>
          <w:wAfter w:w="15" w:type="dxa"/>
        </w:trPr>
        <w:tc>
          <w:tcPr>
            <w:tcW w:w="2518" w:type="dxa"/>
            <w:tcBorders>
              <w:top w:val="single" w:sz="4" w:space="0" w:color="auto"/>
              <w:left w:val="nil"/>
              <w:bottom w:val="nil"/>
              <w:right w:val="nil"/>
            </w:tcBorders>
            <w:vAlign w:val="center"/>
          </w:tcPr>
          <w:p w:rsidR="00AE4F4B" w:rsidRDefault="00AE4F4B" w:rsidP="00856689">
            <w:pPr>
              <w:suppressAutoHyphens/>
              <w:spacing w:after="120" w:line="263" w:lineRule="atLeast"/>
              <w:jc w:val="center"/>
              <w:rPr>
                <w:spacing w:val="-2"/>
                <w:lang w:val="en-US"/>
              </w:rPr>
            </w:pPr>
            <w:r>
              <w:rPr>
                <w:spacing w:val="-2"/>
                <w:lang w:val="en-US"/>
              </w:rPr>
              <w:t>(3.9 ±0.7)</w:t>
            </w:r>
            <w:r w:rsidRPr="00AB48BD">
              <w:rPr>
                <w:rFonts w:eastAsia="Symbol" w:cs="Symbol"/>
                <w:lang w:val="en-GB"/>
              </w:rPr>
              <w:t> </w:t>
            </w:r>
            <w:r w:rsidRPr="00AB48BD">
              <w:rPr>
                <w:rFonts w:ascii="Symbol" w:eastAsia="Symbol" w:hAnsi="Symbol" w:cs="Symbol"/>
                <w:spacing w:val="-3"/>
                <w:lang w:val="en-GB"/>
              </w:rPr>
              <w:t></w:t>
            </w:r>
            <w:r>
              <w:rPr>
                <w:rFonts w:eastAsia="Symbol" w:cs="Symbol"/>
                <w:spacing w:val="-2"/>
                <w:lang w:val="en-GB"/>
              </w:rPr>
              <w:t> </w:t>
            </w:r>
            <w:r>
              <w:rPr>
                <w:spacing w:val="-2"/>
                <w:lang w:val="en-US"/>
              </w:rPr>
              <w:t>10</w:t>
            </w:r>
            <w:r w:rsidRPr="002C5E16">
              <w:rPr>
                <w:spacing w:val="-2"/>
                <w:vertAlign w:val="superscript"/>
                <w:lang w:val="en-US"/>
              </w:rPr>
              <w:t>9</w:t>
            </w:r>
          </w:p>
        </w:tc>
        <w:tc>
          <w:tcPr>
            <w:tcW w:w="992" w:type="dxa"/>
            <w:tcBorders>
              <w:top w:val="single" w:sz="4" w:space="0" w:color="auto"/>
              <w:left w:val="nil"/>
              <w:bottom w:val="nil"/>
              <w:right w:val="nil"/>
            </w:tcBorders>
            <w:vAlign w:val="center"/>
          </w:tcPr>
          <w:p w:rsidR="00AE4F4B" w:rsidRDefault="00AE4F4B" w:rsidP="000B4C27">
            <w:pPr>
              <w:suppressAutoHyphens/>
              <w:spacing w:after="120" w:line="263" w:lineRule="atLeast"/>
              <w:jc w:val="center"/>
              <w:rPr>
                <w:spacing w:val="-2"/>
                <w:lang w:val="en-US"/>
              </w:rPr>
            </w:pPr>
            <w:r>
              <w:rPr>
                <w:spacing w:val="-2"/>
                <w:lang w:val="en-US"/>
              </w:rPr>
              <w:t>298</w:t>
            </w:r>
          </w:p>
        </w:tc>
        <w:tc>
          <w:tcPr>
            <w:tcW w:w="1134" w:type="dxa"/>
            <w:tcBorders>
              <w:top w:val="single" w:sz="4" w:space="0" w:color="auto"/>
              <w:left w:val="nil"/>
              <w:bottom w:val="nil"/>
              <w:right w:val="nil"/>
            </w:tcBorders>
            <w:vAlign w:val="center"/>
          </w:tcPr>
          <w:p w:rsidR="00AE4F4B" w:rsidRDefault="00AE4F4B" w:rsidP="000B4C27">
            <w:pPr>
              <w:suppressAutoHyphens/>
              <w:spacing w:after="120" w:line="263" w:lineRule="atLeast"/>
              <w:jc w:val="center"/>
              <w:rPr>
                <w:spacing w:val="-2"/>
                <w:lang w:val="en-US"/>
              </w:rPr>
            </w:pPr>
            <w:r>
              <w:rPr>
                <w:spacing w:val="-2"/>
                <w:lang w:val="en-US"/>
              </w:rPr>
              <w:t>6.2</w:t>
            </w:r>
          </w:p>
        </w:tc>
        <w:tc>
          <w:tcPr>
            <w:tcW w:w="1134" w:type="dxa"/>
            <w:tcBorders>
              <w:top w:val="single" w:sz="4" w:space="0" w:color="auto"/>
              <w:left w:val="nil"/>
              <w:bottom w:val="nil"/>
              <w:right w:val="nil"/>
            </w:tcBorders>
            <w:vAlign w:val="center"/>
          </w:tcPr>
          <w:p w:rsidR="00AE4F4B" w:rsidRDefault="0020062E" w:rsidP="000B4C27">
            <w:pPr>
              <w:suppressAutoHyphens/>
              <w:spacing w:after="120" w:line="263" w:lineRule="atLeast"/>
              <w:jc w:val="center"/>
              <w:rPr>
                <w:spacing w:val="-2"/>
                <w:lang w:val="en-US"/>
              </w:rPr>
            </w:pPr>
            <w:r>
              <w:rPr>
                <w:spacing w:val="-2"/>
                <w:lang w:val="en-US"/>
              </w:rPr>
              <w:t>-</w:t>
            </w:r>
          </w:p>
        </w:tc>
        <w:tc>
          <w:tcPr>
            <w:tcW w:w="1843" w:type="dxa"/>
            <w:tcBorders>
              <w:top w:val="single" w:sz="4" w:space="0" w:color="auto"/>
              <w:left w:val="nil"/>
              <w:bottom w:val="nil"/>
              <w:right w:val="nil"/>
            </w:tcBorders>
            <w:vAlign w:val="center"/>
          </w:tcPr>
          <w:p w:rsidR="00AE4F4B" w:rsidRDefault="00AE4F4B" w:rsidP="00AE4F4B">
            <w:pPr>
              <w:suppressAutoHyphens/>
              <w:spacing w:line="263" w:lineRule="atLeast"/>
              <w:jc w:val="center"/>
              <w:rPr>
                <w:spacing w:val="-2"/>
                <w:lang w:val="en-CA"/>
              </w:rPr>
            </w:pPr>
            <w:r>
              <w:rPr>
                <w:spacing w:val="-2"/>
                <w:lang w:val="en-CA"/>
              </w:rPr>
              <w:t>Hesper, 2003</w:t>
            </w:r>
          </w:p>
        </w:tc>
        <w:tc>
          <w:tcPr>
            <w:tcW w:w="1667" w:type="dxa"/>
            <w:tcBorders>
              <w:top w:val="single" w:sz="4" w:space="0" w:color="auto"/>
              <w:left w:val="nil"/>
              <w:bottom w:val="nil"/>
              <w:right w:val="nil"/>
            </w:tcBorders>
            <w:vAlign w:val="center"/>
          </w:tcPr>
          <w:p w:rsidR="00AE4F4B" w:rsidRDefault="00AE4F4B" w:rsidP="004A579C">
            <w:pPr>
              <w:suppressAutoHyphens/>
              <w:spacing w:after="120" w:line="263" w:lineRule="atLeast"/>
              <w:jc w:val="center"/>
              <w:rPr>
                <w:rFonts w:cs="Times New Roman"/>
                <w:lang w:val="pt-BR"/>
              </w:rPr>
            </w:pPr>
            <w:r>
              <w:rPr>
                <w:rFonts w:cs="Times New Roman"/>
                <w:lang w:val="pt-BR"/>
              </w:rPr>
              <w:t>LP / LPA (a)</w:t>
            </w:r>
          </w:p>
        </w:tc>
      </w:tr>
      <w:tr w:rsidR="00AE4F4B" w:rsidTr="00AE4F4B">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single" w:sz="4" w:space="0" w:color="auto"/>
              <w:right w:val="nil"/>
            </w:tcBorders>
            <w:vAlign w:val="center"/>
          </w:tcPr>
          <w:p w:rsidR="00AE4F4B" w:rsidRDefault="00AE4F4B" w:rsidP="008D29F7">
            <w:pPr>
              <w:suppressAutoHyphens/>
              <w:spacing w:after="120" w:line="263" w:lineRule="atLeast"/>
              <w:jc w:val="center"/>
              <w:rPr>
                <w:spacing w:val="-2"/>
                <w:lang w:val="en-US"/>
              </w:rPr>
            </w:pPr>
            <w:r>
              <w:rPr>
                <w:spacing w:val="-2"/>
                <w:lang w:val="en-US"/>
              </w:rPr>
              <w:t>8.1</w:t>
            </w:r>
            <w:r>
              <w:rPr>
                <w:rFonts w:eastAsia="Symbol" w:cs="Symbol"/>
                <w:spacing w:val="-3"/>
                <w:lang w:val="en-GB"/>
              </w:rPr>
              <w:t> </w:t>
            </w:r>
            <w:r w:rsidRPr="00AB48BD">
              <w:rPr>
                <w:rFonts w:ascii="Symbol" w:eastAsia="Symbol" w:hAnsi="Symbol" w:cs="Symbol"/>
                <w:spacing w:val="-3"/>
                <w:lang w:val="en-GB"/>
              </w:rPr>
              <w:t></w:t>
            </w:r>
            <w:r>
              <w:rPr>
                <w:rFonts w:eastAsia="Symbol" w:cs="Symbol"/>
                <w:spacing w:val="-2"/>
                <w:lang w:val="en-GB"/>
              </w:rPr>
              <w:t> </w:t>
            </w:r>
            <w:r w:rsidRPr="000A077A">
              <w:rPr>
                <w:rFonts w:eastAsia="Symbol" w:cs="Symbol"/>
                <w:spacing w:val="-2"/>
                <w:lang w:val="en-GB"/>
              </w:rPr>
              <w:t>10</w:t>
            </w:r>
            <w:r>
              <w:rPr>
                <w:rFonts w:eastAsia="Symbol" w:cs="Symbol"/>
                <w:spacing w:val="-2"/>
                <w:vertAlign w:val="superscript"/>
                <w:lang w:val="en-GB"/>
              </w:rPr>
              <w:t>10</w:t>
            </w:r>
            <w:r w:rsidRPr="000A077A">
              <w:rPr>
                <w:rFonts w:eastAsia="Symbol" w:cs="Symbol"/>
                <w:spacing w:val="-2"/>
                <w:lang w:val="en-GB"/>
              </w:rPr>
              <w:t xml:space="preserve"> </w:t>
            </w:r>
            <w:r w:rsidRPr="00AB48BD">
              <w:rPr>
                <w:rFonts w:eastAsia="Symbol" w:cs="Symbol"/>
                <w:spacing w:val="-3"/>
                <w:lang w:val="en-GB"/>
              </w:rPr>
              <w:t>exp [-(</w:t>
            </w:r>
            <w:r>
              <w:rPr>
                <w:rFonts w:eastAsia="Symbol" w:cs="Symbol"/>
                <w:spacing w:val="-2"/>
                <w:lang w:val="en-GB"/>
              </w:rPr>
              <w:t>900 </w:t>
            </w:r>
            <w:r w:rsidRPr="00AB48BD">
              <w:rPr>
                <w:rFonts w:eastAsia="Symbol" w:cs="Symbol"/>
                <w:lang w:val="en-GB"/>
              </w:rPr>
              <w:t>±</w:t>
            </w:r>
            <w:r>
              <w:rPr>
                <w:rFonts w:eastAsia="Symbol" w:cs="Symbol"/>
                <w:lang w:val="en-GB"/>
              </w:rPr>
              <w:t>300</w:t>
            </w:r>
            <w:r w:rsidRPr="00AB48BD">
              <w:rPr>
                <w:rFonts w:eastAsia="Symbol" w:cs="Symbol"/>
                <w:spacing w:val="-2"/>
                <w:lang w:val="en-GB"/>
              </w:rPr>
              <w:t>)/T]</w:t>
            </w:r>
          </w:p>
        </w:tc>
        <w:tc>
          <w:tcPr>
            <w:tcW w:w="992" w:type="dxa"/>
            <w:tcBorders>
              <w:top w:val="nil"/>
              <w:left w:val="nil"/>
              <w:bottom w:val="single" w:sz="4" w:space="0" w:color="auto"/>
              <w:right w:val="nil"/>
            </w:tcBorders>
            <w:vAlign w:val="center"/>
          </w:tcPr>
          <w:p w:rsidR="00AE4F4B" w:rsidRDefault="00AE4F4B" w:rsidP="000B4C27">
            <w:pPr>
              <w:suppressAutoHyphens/>
              <w:spacing w:after="120" w:line="263" w:lineRule="atLeast"/>
              <w:jc w:val="center"/>
              <w:rPr>
                <w:spacing w:val="-2"/>
                <w:lang w:val="en-US"/>
              </w:rPr>
            </w:pPr>
            <w:r>
              <w:rPr>
                <w:spacing w:val="-2"/>
                <w:lang w:val="en-US"/>
              </w:rPr>
              <w:t>288 - 328</w:t>
            </w:r>
          </w:p>
        </w:tc>
        <w:tc>
          <w:tcPr>
            <w:tcW w:w="1134" w:type="dxa"/>
            <w:tcBorders>
              <w:top w:val="nil"/>
              <w:left w:val="nil"/>
              <w:bottom w:val="single" w:sz="4" w:space="0" w:color="auto"/>
              <w:right w:val="nil"/>
            </w:tcBorders>
            <w:vAlign w:val="center"/>
          </w:tcPr>
          <w:p w:rsidR="00AE4F4B" w:rsidRDefault="00AE4F4B" w:rsidP="000B4C27">
            <w:pPr>
              <w:suppressAutoHyphens/>
              <w:spacing w:after="120" w:line="263" w:lineRule="atLeast"/>
              <w:jc w:val="center"/>
              <w:rPr>
                <w:spacing w:val="-2"/>
                <w:lang w:val="en-US"/>
              </w:rPr>
            </w:pPr>
            <w:r>
              <w:rPr>
                <w:spacing w:val="-2"/>
                <w:lang w:val="en-US"/>
              </w:rPr>
              <w:t>6.2</w:t>
            </w:r>
          </w:p>
        </w:tc>
        <w:tc>
          <w:tcPr>
            <w:tcW w:w="1134" w:type="dxa"/>
            <w:tcBorders>
              <w:top w:val="nil"/>
              <w:left w:val="nil"/>
              <w:bottom w:val="single" w:sz="4" w:space="0" w:color="auto"/>
              <w:right w:val="nil"/>
            </w:tcBorders>
            <w:vAlign w:val="center"/>
          </w:tcPr>
          <w:p w:rsidR="00AE4F4B" w:rsidRDefault="0020062E" w:rsidP="000B4C27">
            <w:pPr>
              <w:suppressAutoHyphens/>
              <w:spacing w:after="120" w:line="263" w:lineRule="atLeast"/>
              <w:jc w:val="center"/>
              <w:rPr>
                <w:spacing w:val="-2"/>
                <w:lang w:val="en-US"/>
              </w:rPr>
            </w:pPr>
            <w:r>
              <w:rPr>
                <w:spacing w:val="-2"/>
                <w:lang w:val="en-US"/>
              </w:rPr>
              <w:t>-</w:t>
            </w:r>
          </w:p>
        </w:tc>
        <w:tc>
          <w:tcPr>
            <w:tcW w:w="1843" w:type="dxa"/>
            <w:tcBorders>
              <w:top w:val="nil"/>
              <w:left w:val="nil"/>
              <w:right w:val="nil"/>
            </w:tcBorders>
            <w:vAlign w:val="center"/>
          </w:tcPr>
          <w:p w:rsidR="00AE4F4B" w:rsidRDefault="00AE4F4B" w:rsidP="000B4C27">
            <w:pPr>
              <w:suppressAutoHyphens/>
              <w:spacing w:line="263" w:lineRule="atLeast"/>
              <w:jc w:val="center"/>
              <w:rPr>
                <w:spacing w:val="-2"/>
                <w:lang w:val="en-CA"/>
              </w:rPr>
            </w:pPr>
          </w:p>
        </w:tc>
        <w:tc>
          <w:tcPr>
            <w:tcW w:w="1667" w:type="dxa"/>
            <w:tcBorders>
              <w:top w:val="nil"/>
              <w:left w:val="nil"/>
              <w:bottom w:val="single" w:sz="4" w:space="0" w:color="auto"/>
              <w:right w:val="nil"/>
            </w:tcBorders>
            <w:vAlign w:val="center"/>
          </w:tcPr>
          <w:p w:rsidR="00AE4F4B" w:rsidRDefault="00AE4F4B" w:rsidP="000B4C27">
            <w:pPr>
              <w:suppressAutoHyphens/>
              <w:spacing w:after="120" w:line="263" w:lineRule="atLeast"/>
              <w:jc w:val="center"/>
              <w:rPr>
                <w:rFonts w:cs="Times New Roman"/>
                <w:lang w:val="pt-BR"/>
              </w:rPr>
            </w:pPr>
          </w:p>
        </w:tc>
      </w:tr>
      <w:tr w:rsidR="00C648E1" w:rsidTr="00F55117">
        <w:tblPrEx>
          <w:tblCellMar>
            <w:top w:w="0" w:type="dxa"/>
            <w:bottom w:w="0" w:type="dxa"/>
          </w:tblCellMar>
        </w:tblPrEx>
        <w:tc>
          <w:tcPr>
            <w:tcW w:w="9303" w:type="dxa"/>
            <w:gridSpan w:val="7"/>
            <w:vAlign w:val="center"/>
          </w:tcPr>
          <w:p w:rsidR="00C648E1" w:rsidRDefault="00DE09D1" w:rsidP="004E7108">
            <w:pPr>
              <w:suppressAutoHyphens/>
              <w:spacing w:before="120" w:line="264" w:lineRule="auto"/>
              <w:jc w:val="center"/>
              <w:rPr>
                <w:spacing w:val="-2"/>
                <w:lang w:val="en-US"/>
              </w:rPr>
            </w:pPr>
            <w:r>
              <w:rPr>
                <w:i/>
                <w:spacing w:val="-2"/>
                <w:lang w:val="en-US"/>
              </w:rPr>
              <w:t>Relative</w:t>
            </w:r>
            <w:r w:rsidR="00C648E1">
              <w:rPr>
                <w:i/>
                <w:spacing w:val="-2"/>
                <w:lang w:val="en-US"/>
              </w:rPr>
              <w:t xml:space="preserve"> Rate Coefficients</w:t>
            </w:r>
          </w:p>
        </w:tc>
      </w:tr>
      <w:tr w:rsidR="00DB53BB" w:rsidTr="00AE4F4B">
        <w:tblPrEx>
          <w:tblCellMar>
            <w:top w:w="0" w:type="dxa"/>
            <w:bottom w:w="0" w:type="dxa"/>
          </w:tblCellMar>
          <w:tblLook w:val="01E0" w:firstRow="1" w:lastRow="1" w:firstColumn="1" w:lastColumn="1" w:noHBand="0" w:noVBand="0"/>
        </w:tblPrEx>
        <w:trPr>
          <w:gridAfter w:val="1"/>
          <w:wAfter w:w="15" w:type="dxa"/>
        </w:trPr>
        <w:tc>
          <w:tcPr>
            <w:tcW w:w="2518" w:type="dxa"/>
            <w:tcBorders>
              <w:top w:val="single" w:sz="4" w:space="0" w:color="auto"/>
              <w:left w:val="nil"/>
              <w:bottom w:val="nil"/>
              <w:right w:val="nil"/>
            </w:tcBorders>
            <w:vAlign w:val="center"/>
          </w:tcPr>
          <w:p w:rsidR="00DB53BB" w:rsidRDefault="0020062E" w:rsidP="00433612">
            <w:pPr>
              <w:suppressAutoHyphens/>
              <w:spacing w:after="120" w:line="263" w:lineRule="atLeast"/>
              <w:jc w:val="center"/>
              <w:rPr>
                <w:spacing w:val="-2"/>
                <w:lang w:val="en-US"/>
              </w:rPr>
            </w:pPr>
            <w:r>
              <w:rPr>
                <w:spacing w:val="-2"/>
                <w:lang w:val="en-US"/>
              </w:rPr>
              <w:t>3.88</w:t>
            </w:r>
            <w:r w:rsidR="00FD0802" w:rsidRPr="00AB48BD">
              <w:rPr>
                <w:rFonts w:eastAsia="Symbol" w:cs="Symbol"/>
                <w:lang w:val="en-GB"/>
              </w:rPr>
              <w:t> </w:t>
            </w:r>
            <w:r w:rsidR="00FD0802" w:rsidRPr="00AB48BD">
              <w:rPr>
                <w:rFonts w:ascii="Symbol" w:eastAsia="Symbol" w:hAnsi="Symbol" w:cs="Symbol"/>
                <w:spacing w:val="-3"/>
                <w:lang w:val="en-GB"/>
              </w:rPr>
              <w:t></w:t>
            </w:r>
            <w:r w:rsidR="00FD0802">
              <w:rPr>
                <w:rFonts w:eastAsia="Symbol" w:cs="Symbol"/>
                <w:spacing w:val="-2"/>
                <w:lang w:val="en-GB"/>
              </w:rPr>
              <w:t> </w:t>
            </w:r>
            <w:r w:rsidR="00DB53BB">
              <w:rPr>
                <w:spacing w:val="-2"/>
                <w:lang w:val="en-US"/>
              </w:rPr>
              <w:t>10</w:t>
            </w:r>
            <w:r w:rsidR="00433612">
              <w:rPr>
                <w:spacing w:val="-2"/>
                <w:vertAlign w:val="superscript"/>
                <w:lang w:val="en-US"/>
              </w:rPr>
              <w:t>9</w:t>
            </w:r>
          </w:p>
        </w:tc>
        <w:tc>
          <w:tcPr>
            <w:tcW w:w="992" w:type="dxa"/>
            <w:tcBorders>
              <w:top w:val="single" w:sz="4" w:space="0" w:color="auto"/>
              <w:left w:val="nil"/>
              <w:bottom w:val="nil"/>
              <w:right w:val="nil"/>
            </w:tcBorders>
            <w:vAlign w:val="center"/>
          </w:tcPr>
          <w:p w:rsidR="00DB53BB" w:rsidRDefault="0020062E" w:rsidP="00FC186E">
            <w:pPr>
              <w:suppressAutoHyphens/>
              <w:spacing w:after="120" w:line="263" w:lineRule="atLeast"/>
              <w:jc w:val="center"/>
              <w:rPr>
                <w:spacing w:val="-2"/>
                <w:lang w:val="en-US"/>
              </w:rPr>
            </w:pPr>
            <w:r>
              <w:rPr>
                <w:spacing w:val="-2"/>
                <w:lang w:val="en-US"/>
              </w:rPr>
              <w:t>294</w:t>
            </w:r>
          </w:p>
        </w:tc>
        <w:tc>
          <w:tcPr>
            <w:tcW w:w="1134" w:type="dxa"/>
            <w:tcBorders>
              <w:top w:val="single" w:sz="4" w:space="0" w:color="auto"/>
              <w:left w:val="nil"/>
              <w:bottom w:val="nil"/>
              <w:right w:val="nil"/>
            </w:tcBorders>
            <w:vAlign w:val="center"/>
          </w:tcPr>
          <w:p w:rsidR="00DB53BB" w:rsidRDefault="005C0F26" w:rsidP="00FC186E">
            <w:pPr>
              <w:suppressAutoHyphens/>
              <w:spacing w:after="120" w:line="263" w:lineRule="atLeast"/>
              <w:jc w:val="center"/>
              <w:rPr>
                <w:spacing w:val="-2"/>
                <w:lang w:val="en-US"/>
              </w:rPr>
            </w:pPr>
            <w:r>
              <w:rPr>
                <w:spacing w:val="-2"/>
                <w:lang w:val="en-US"/>
              </w:rPr>
              <w:t>2</w:t>
            </w:r>
          </w:p>
        </w:tc>
        <w:tc>
          <w:tcPr>
            <w:tcW w:w="1134" w:type="dxa"/>
            <w:tcBorders>
              <w:top w:val="single" w:sz="4" w:space="0" w:color="auto"/>
              <w:left w:val="nil"/>
              <w:bottom w:val="nil"/>
              <w:right w:val="nil"/>
            </w:tcBorders>
            <w:vAlign w:val="center"/>
          </w:tcPr>
          <w:p w:rsidR="00DB53BB" w:rsidRDefault="0020062E" w:rsidP="00FC186E">
            <w:pPr>
              <w:suppressAutoHyphens/>
              <w:spacing w:after="120" w:line="263" w:lineRule="atLeast"/>
              <w:jc w:val="center"/>
              <w:rPr>
                <w:spacing w:val="-2"/>
                <w:lang w:val="en-US"/>
              </w:rPr>
            </w:pPr>
            <w:r>
              <w:rPr>
                <w:spacing w:val="-2"/>
                <w:lang w:val="en-US"/>
              </w:rPr>
              <w:t>-</w:t>
            </w:r>
          </w:p>
        </w:tc>
        <w:tc>
          <w:tcPr>
            <w:tcW w:w="1843" w:type="dxa"/>
            <w:tcBorders>
              <w:top w:val="single" w:sz="4" w:space="0" w:color="auto"/>
              <w:left w:val="nil"/>
              <w:bottom w:val="nil"/>
              <w:right w:val="nil"/>
            </w:tcBorders>
            <w:vAlign w:val="center"/>
          </w:tcPr>
          <w:p w:rsidR="00DB53BB" w:rsidRDefault="005C0F26" w:rsidP="00197003">
            <w:pPr>
              <w:suppressAutoHyphens/>
              <w:spacing w:line="263" w:lineRule="atLeast"/>
              <w:jc w:val="center"/>
              <w:rPr>
                <w:spacing w:val="-2"/>
                <w:lang w:val="en-CA"/>
              </w:rPr>
            </w:pPr>
            <w:r>
              <w:rPr>
                <w:spacing w:val="-2"/>
                <w:lang w:val="en-CA"/>
              </w:rPr>
              <w:t>Adams et al., 1965</w:t>
            </w:r>
          </w:p>
        </w:tc>
        <w:tc>
          <w:tcPr>
            <w:tcW w:w="1667" w:type="dxa"/>
            <w:tcBorders>
              <w:top w:val="single" w:sz="4" w:space="0" w:color="auto"/>
              <w:left w:val="nil"/>
              <w:bottom w:val="nil"/>
              <w:right w:val="nil"/>
            </w:tcBorders>
            <w:vAlign w:val="center"/>
          </w:tcPr>
          <w:p w:rsidR="00DB53BB" w:rsidRPr="00197003" w:rsidRDefault="00E21EAB" w:rsidP="009C7A1E">
            <w:pPr>
              <w:suppressAutoHyphens/>
              <w:spacing w:after="120" w:line="263" w:lineRule="atLeast"/>
              <w:jc w:val="center"/>
              <w:rPr>
                <w:spacing w:val="-2"/>
                <w:lang w:val="en-US"/>
              </w:rPr>
            </w:pPr>
            <w:r>
              <w:rPr>
                <w:rFonts w:cs="Times New Roman"/>
                <w:lang w:val="pt-BR"/>
              </w:rPr>
              <w:t>PR</w:t>
            </w:r>
            <w:r w:rsidR="005C0F26">
              <w:t xml:space="preserve"> </w:t>
            </w:r>
            <w:r w:rsidR="005C0F26" w:rsidRPr="00170263">
              <w:t>/</w:t>
            </w:r>
            <w:r w:rsidR="005C0F26">
              <w:t xml:space="preserve"> </w:t>
            </w:r>
            <w:r w:rsidR="005C0F26" w:rsidRPr="00170263">
              <w:t>UV-Vis</w:t>
            </w:r>
            <w:r w:rsidR="005C0F26">
              <w:rPr>
                <w:spacing w:val="-2"/>
                <w:lang w:val="en-US"/>
              </w:rPr>
              <w:t xml:space="preserve"> </w:t>
            </w:r>
            <w:r w:rsidR="00FA5DCA">
              <w:rPr>
                <w:spacing w:val="-2"/>
                <w:lang w:val="en-US"/>
              </w:rPr>
              <w:t>(b</w:t>
            </w:r>
            <w:r w:rsidR="00DB53BB">
              <w:rPr>
                <w:spacing w:val="-2"/>
                <w:lang w:val="en-US"/>
              </w:rPr>
              <w:t>)</w:t>
            </w:r>
          </w:p>
        </w:tc>
      </w:tr>
      <w:tr w:rsidR="00433612" w:rsidTr="00AE4F4B">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single" w:sz="4" w:space="0" w:color="auto"/>
              <w:right w:val="nil"/>
            </w:tcBorders>
            <w:vAlign w:val="center"/>
          </w:tcPr>
          <w:p w:rsidR="00433612" w:rsidRDefault="00856689" w:rsidP="00856689">
            <w:pPr>
              <w:suppressAutoHyphens/>
              <w:spacing w:after="120" w:line="263" w:lineRule="atLeast"/>
              <w:jc w:val="center"/>
              <w:rPr>
                <w:spacing w:val="-2"/>
                <w:lang w:val="en-US"/>
              </w:rPr>
            </w:pPr>
            <w:r>
              <w:rPr>
                <w:spacing w:val="-2"/>
                <w:lang w:val="en-US"/>
              </w:rPr>
              <w:t>(</w:t>
            </w:r>
            <w:r w:rsidR="00FD0802">
              <w:rPr>
                <w:spacing w:val="-2"/>
                <w:lang w:val="en-US"/>
              </w:rPr>
              <w:t>3.84</w:t>
            </w:r>
            <w:r w:rsidR="007C7DFA">
              <w:rPr>
                <w:spacing w:val="-2"/>
                <w:lang w:val="en-US"/>
              </w:rPr>
              <w:t> </w:t>
            </w:r>
            <w:r w:rsidR="00FD0802">
              <w:rPr>
                <w:spacing w:val="-2"/>
                <w:lang w:val="en-US"/>
              </w:rPr>
              <w:t>±0.7)</w:t>
            </w:r>
            <w:r w:rsidR="00FD0802" w:rsidRPr="00AB48BD">
              <w:rPr>
                <w:rFonts w:eastAsia="Symbol" w:cs="Symbol"/>
                <w:lang w:val="en-GB"/>
              </w:rPr>
              <w:t> </w:t>
            </w:r>
            <w:r w:rsidR="00FD0802" w:rsidRPr="00AB48BD">
              <w:rPr>
                <w:rFonts w:ascii="Symbol" w:eastAsia="Symbol" w:hAnsi="Symbol" w:cs="Symbol"/>
                <w:spacing w:val="-3"/>
                <w:lang w:val="en-GB"/>
              </w:rPr>
              <w:t></w:t>
            </w:r>
            <w:r w:rsidR="00FD0802">
              <w:rPr>
                <w:rFonts w:eastAsia="Symbol" w:cs="Symbol"/>
                <w:spacing w:val="-2"/>
                <w:lang w:val="en-GB"/>
              </w:rPr>
              <w:t> </w:t>
            </w:r>
            <w:r w:rsidR="00FD0802">
              <w:rPr>
                <w:spacing w:val="-2"/>
                <w:lang w:val="en-US"/>
              </w:rPr>
              <w:t>10</w:t>
            </w:r>
            <w:r w:rsidR="00FD0802" w:rsidRPr="002C5E16">
              <w:rPr>
                <w:spacing w:val="-2"/>
                <w:vertAlign w:val="superscript"/>
                <w:lang w:val="en-US"/>
              </w:rPr>
              <w:t>9</w:t>
            </w:r>
          </w:p>
        </w:tc>
        <w:tc>
          <w:tcPr>
            <w:tcW w:w="992" w:type="dxa"/>
            <w:tcBorders>
              <w:top w:val="nil"/>
              <w:left w:val="nil"/>
              <w:bottom w:val="single" w:sz="4" w:space="0" w:color="auto"/>
              <w:right w:val="nil"/>
            </w:tcBorders>
            <w:vAlign w:val="center"/>
          </w:tcPr>
          <w:p w:rsidR="00433612" w:rsidRDefault="00FD0802" w:rsidP="00FC186E">
            <w:pPr>
              <w:suppressAutoHyphens/>
              <w:spacing w:after="120" w:line="263" w:lineRule="atLeast"/>
              <w:jc w:val="center"/>
              <w:rPr>
                <w:spacing w:val="-2"/>
                <w:lang w:val="en-US"/>
              </w:rPr>
            </w:pPr>
            <w:r>
              <w:rPr>
                <w:spacing w:val="-2"/>
                <w:lang w:val="en-US"/>
              </w:rPr>
              <w:t>298</w:t>
            </w:r>
          </w:p>
        </w:tc>
        <w:tc>
          <w:tcPr>
            <w:tcW w:w="1134" w:type="dxa"/>
            <w:tcBorders>
              <w:top w:val="nil"/>
              <w:left w:val="nil"/>
              <w:bottom w:val="single" w:sz="4" w:space="0" w:color="auto"/>
              <w:right w:val="nil"/>
            </w:tcBorders>
            <w:vAlign w:val="center"/>
          </w:tcPr>
          <w:p w:rsidR="00433612" w:rsidRDefault="00FD0802" w:rsidP="00FC186E">
            <w:pPr>
              <w:suppressAutoHyphens/>
              <w:spacing w:after="120" w:line="263" w:lineRule="atLeast"/>
              <w:jc w:val="center"/>
              <w:rPr>
                <w:spacing w:val="-2"/>
                <w:lang w:val="en-US"/>
              </w:rPr>
            </w:pPr>
            <w:r>
              <w:rPr>
                <w:spacing w:val="-2"/>
                <w:lang w:val="en-US"/>
              </w:rPr>
              <w:t>2</w:t>
            </w:r>
          </w:p>
        </w:tc>
        <w:tc>
          <w:tcPr>
            <w:tcW w:w="1134" w:type="dxa"/>
            <w:tcBorders>
              <w:top w:val="nil"/>
              <w:left w:val="nil"/>
              <w:bottom w:val="single" w:sz="4" w:space="0" w:color="auto"/>
              <w:right w:val="nil"/>
            </w:tcBorders>
            <w:vAlign w:val="center"/>
          </w:tcPr>
          <w:p w:rsidR="00433612" w:rsidRDefault="0020062E" w:rsidP="00FC186E">
            <w:pPr>
              <w:suppressAutoHyphens/>
              <w:spacing w:after="120" w:line="263" w:lineRule="atLeast"/>
              <w:jc w:val="center"/>
              <w:rPr>
                <w:spacing w:val="-2"/>
                <w:lang w:val="en-US"/>
              </w:rPr>
            </w:pPr>
            <w:r>
              <w:rPr>
                <w:spacing w:val="-2"/>
                <w:lang w:val="en-US"/>
              </w:rPr>
              <w:t>-</w:t>
            </w:r>
          </w:p>
        </w:tc>
        <w:tc>
          <w:tcPr>
            <w:tcW w:w="1843" w:type="dxa"/>
            <w:tcBorders>
              <w:top w:val="nil"/>
              <w:left w:val="nil"/>
              <w:right w:val="nil"/>
            </w:tcBorders>
            <w:vAlign w:val="center"/>
          </w:tcPr>
          <w:p w:rsidR="00433612" w:rsidRDefault="00FD0802" w:rsidP="00197003">
            <w:pPr>
              <w:suppressAutoHyphens/>
              <w:spacing w:line="263" w:lineRule="atLeast"/>
              <w:jc w:val="center"/>
              <w:rPr>
                <w:spacing w:val="-2"/>
                <w:lang w:val="en-CA"/>
              </w:rPr>
            </w:pPr>
            <w:r>
              <w:rPr>
                <w:spacing w:val="-2"/>
                <w:lang w:val="en-CA"/>
              </w:rPr>
              <w:t>Monod et al., 2005</w:t>
            </w:r>
          </w:p>
        </w:tc>
        <w:tc>
          <w:tcPr>
            <w:tcW w:w="1667" w:type="dxa"/>
            <w:tcBorders>
              <w:top w:val="nil"/>
              <w:left w:val="nil"/>
              <w:bottom w:val="single" w:sz="4" w:space="0" w:color="auto"/>
              <w:right w:val="nil"/>
            </w:tcBorders>
            <w:vAlign w:val="center"/>
          </w:tcPr>
          <w:p w:rsidR="00433612" w:rsidRDefault="00FA5DCA" w:rsidP="00FA5DCA">
            <w:pPr>
              <w:suppressAutoHyphens/>
              <w:spacing w:after="120" w:line="263" w:lineRule="atLeast"/>
              <w:jc w:val="center"/>
              <w:rPr>
                <w:rFonts w:cs="Times New Roman"/>
                <w:lang w:val="pt-BR"/>
              </w:rPr>
            </w:pPr>
            <w:r>
              <w:rPr>
                <w:rFonts w:cs="Times New Roman"/>
                <w:lang w:val="pt-BR"/>
              </w:rPr>
              <w:t>Fenton reaction (</w:t>
            </w:r>
            <w:r w:rsidR="0020062E">
              <w:rPr>
                <w:rFonts w:cs="Times New Roman"/>
                <w:lang w:val="pt-BR"/>
              </w:rPr>
              <w:t>c</w:t>
            </w:r>
            <w:r w:rsidR="00FD0802">
              <w:rPr>
                <w:rFonts w:cs="Times New Roman"/>
                <w:lang w:val="pt-BR"/>
              </w:rPr>
              <w:t>)</w:t>
            </w:r>
          </w:p>
        </w:tc>
      </w:tr>
    </w:tbl>
    <w:p w:rsidR="00325D6F" w:rsidRPr="00891F90" w:rsidRDefault="00325D6F" w:rsidP="00821651">
      <w:pPr>
        <w:tabs>
          <w:tab w:val="left" w:pos="0"/>
          <w:tab w:val="left" w:pos="288"/>
          <w:tab w:val="left" w:pos="720"/>
        </w:tabs>
        <w:suppressAutoHyphens/>
        <w:spacing w:line="240" w:lineRule="atLeast"/>
        <w:jc w:val="both"/>
        <w:rPr>
          <w:spacing w:val="-3"/>
          <w:lang w:val="en-US"/>
        </w:rPr>
      </w:pPr>
    </w:p>
    <w:p w:rsidR="001632B4" w:rsidRPr="00411146" w:rsidRDefault="001632B4" w:rsidP="001632B4">
      <w:pPr>
        <w:tabs>
          <w:tab w:val="left" w:pos="0"/>
          <w:tab w:val="left" w:pos="288"/>
          <w:tab w:val="left" w:pos="720"/>
        </w:tabs>
        <w:suppressAutoHyphens/>
        <w:spacing w:line="240" w:lineRule="atLeast"/>
        <w:jc w:val="both"/>
        <w:rPr>
          <w:rFonts w:ascii="Times New Roman" w:hAnsi="Times New Roman" w:cs="Times New Roman"/>
          <w:spacing w:val="-3"/>
          <w:lang w:val="en-US"/>
        </w:rPr>
      </w:pPr>
      <w:r>
        <w:rPr>
          <w:rFonts w:ascii="Times New Roman" w:hAnsi="Times New Roman" w:cs="Times New Roman"/>
          <w:spacing w:val="-3"/>
          <w:lang w:val="en-US"/>
        </w:rPr>
        <w:t>The equilibrium constant for the hydration (1) is recommended as K</w:t>
      </w:r>
      <w:r>
        <w:rPr>
          <w:rFonts w:ascii="Times New Roman" w:hAnsi="Times New Roman" w:cs="Times New Roman"/>
          <w:spacing w:val="-3"/>
          <w:vertAlign w:val="subscript"/>
          <w:lang w:val="en-US"/>
        </w:rPr>
        <w:t>298 K</w:t>
      </w:r>
      <w:r>
        <w:rPr>
          <w:rFonts w:ascii="Times New Roman" w:hAnsi="Times New Roman" w:cs="Times New Roman"/>
          <w:spacing w:val="-3"/>
          <w:lang w:val="en-US"/>
        </w:rPr>
        <w:t> = 0.60 by Doussin and Monod (2013).</w:t>
      </w:r>
    </w:p>
    <w:p w:rsidR="001632B4" w:rsidRDefault="001632B4" w:rsidP="001632B4">
      <w:pPr>
        <w:tabs>
          <w:tab w:val="left" w:pos="0"/>
          <w:tab w:val="left" w:pos="288"/>
          <w:tab w:val="left" w:pos="720"/>
        </w:tabs>
        <w:suppressAutoHyphens/>
        <w:spacing w:line="240" w:lineRule="atLeast"/>
        <w:jc w:val="both"/>
        <w:rPr>
          <w:rFonts w:ascii="Symbol" w:hAnsi="Symbol"/>
          <w:spacing w:val="-3"/>
          <w:lang w:val="en-US"/>
        </w:rPr>
      </w:pPr>
    </w:p>
    <w:p w:rsidR="001632B4" w:rsidRDefault="001632B4" w:rsidP="001632B4">
      <w:pPr>
        <w:tabs>
          <w:tab w:val="left" w:pos="0"/>
          <w:tab w:val="left" w:pos="288"/>
          <w:tab w:val="left" w:pos="720"/>
        </w:tabs>
        <w:suppressAutoHyphens/>
        <w:spacing w:line="240" w:lineRule="atLeast"/>
        <w:jc w:val="both"/>
      </w:pPr>
      <w:r>
        <w:rPr>
          <w:rFonts w:ascii="Symbol" w:eastAsia="Symbol" w:hAnsi="Symbol" w:cs="Symbol"/>
          <w:spacing w:val="-3"/>
        </w:rPr>
        <w:t></w:t>
      </w:r>
      <w:r>
        <w:rPr>
          <w:rFonts w:eastAsia="Symbol"/>
          <w:i/>
          <w:spacing w:val="-3"/>
        </w:rPr>
        <w:t>G</w:t>
      </w:r>
      <w:r>
        <w:rPr>
          <w:rFonts w:eastAsia="Symbol"/>
          <w:i/>
          <w:spacing w:val="-3"/>
          <w:vertAlign w:val="subscript"/>
        </w:rPr>
        <w:t>R</w:t>
      </w:r>
      <w:r>
        <w:rPr>
          <w:rFonts w:ascii="Symbol" w:eastAsia="Symbol" w:hAnsi="Symbol" w:cs="Symbol"/>
          <w:iCs/>
          <w:spacing w:val="-3"/>
        </w:rPr>
        <w:t></w:t>
      </w:r>
      <w:r>
        <w:rPr>
          <w:rFonts w:eastAsia="Symbol" w:cs="Symbol"/>
          <w:iCs/>
          <w:spacing w:val="-3"/>
        </w:rPr>
        <w:t xml:space="preserve"> (</w:t>
      </w:r>
      <w:proofErr w:type="spellStart"/>
      <w:r>
        <w:rPr>
          <w:rFonts w:eastAsia="Symbol" w:cs="Symbol"/>
          <w:iCs/>
          <w:spacing w:val="-3"/>
        </w:rPr>
        <w:t>aq</w:t>
      </w:r>
      <w:proofErr w:type="spellEnd"/>
      <w:r>
        <w:rPr>
          <w:rFonts w:eastAsia="Symbol" w:cs="Symbol"/>
          <w:iCs/>
          <w:spacing w:val="-3"/>
        </w:rPr>
        <w:t>)</w:t>
      </w:r>
      <w:r>
        <w:rPr>
          <w:rFonts w:eastAsia="Symbol" w:cs="Symbol"/>
        </w:rPr>
        <w:t xml:space="preserve">: Aqueous phase thermochemical data not available. As well, gas phase thermochemical data </w:t>
      </w:r>
      <w:r>
        <w:rPr>
          <w:rFonts w:ascii="Symbol" w:eastAsia="Symbol" w:hAnsi="Symbol" w:cs="Symbol"/>
          <w:i/>
          <w:spacing w:val="-3"/>
        </w:rPr>
        <w:t></w:t>
      </w:r>
      <w:r>
        <w:rPr>
          <w:rFonts w:eastAsia="Symbol"/>
          <w:i/>
          <w:spacing w:val="-3"/>
          <w:vertAlign w:val="subscript"/>
        </w:rPr>
        <w:t>R</w:t>
      </w:r>
      <w:r>
        <w:rPr>
          <w:rFonts w:ascii="Symbol" w:eastAsia="Symbol" w:hAnsi="Symbol" w:cs="Symbol"/>
          <w:iCs/>
          <w:spacing w:val="-3"/>
        </w:rPr>
        <w:t></w:t>
      </w:r>
      <w:r>
        <w:rPr>
          <w:rFonts w:eastAsia="Symbol" w:cs="Symbol"/>
          <w:spacing w:val="-3"/>
        </w:rPr>
        <w:t xml:space="preserve"> (g) are not available.</w:t>
      </w:r>
    </w:p>
    <w:p w:rsidR="001632B4" w:rsidRDefault="001632B4" w:rsidP="00821651">
      <w:pPr>
        <w:tabs>
          <w:tab w:val="center" w:pos="4680"/>
        </w:tabs>
        <w:suppressAutoHyphens/>
        <w:spacing w:line="240" w:lineRule="atLeast"/>
        <w:jc w:val="center"/>
        <w:rPr>
          <w:b/>
          <w:spacing w:val="-3"/>
          <w:lang w:val="en-CA"/>
        </w:rPr>
      </w:pPr>
    </w:p>
    <w:p w:rsidR="00821651" w:rsidRPr="00893259" w:rsidRDefault="00821651" w:rsidP="00821651">
      <w:pPr>
        <w:tabs>
          <w:tab w:val="center" w:pos="4680"/>
        </w:tabs>
        <w:suppressAutoHyphens/>
        <w:spacing w:line="240" w:lineRule="atLeast"/>
        <w:jc w:val="center"/>
        <w:rPr>
          <w:spacing w:val="-3"/>
          <w:lang w:val="en-CA"/>
        </w:rPr>
      </w:pPr>
      <w:r w:rsidRPr="00893259">
        <w:rPr>
          <w:b/>
          <w:spacing w:val="-3"/>
          <w:lang w:val="en-CA"/>
        </w:rPr>
        <w:t>Comments</w:t>
      </w:r>
    </w:p>
    <w:p w:rsidR="00FC186E" w:rsidRDefault="00FC186E" w:rsidP="00FC186E">
      <w:pPr>
        <w:tabs>
          <w:tab w:val="left" w:pos="426"/>
          <w:tab w:val="left" w:pos="720"/>
        </w:tabs>
        <w:suppressAutoHyphens/>
        <w:spacing w:line="240" w:lineRule="atLeast"/>
        <w:ind w:left="426" w:hanging="426"/>
        <w:jc w:val="both"/>
        <w:rPr>
          <w:lang w:val="en-CA"/>
        </w:rPr>
      </w:pPr>
    </w:p>
    <w:p w:rsidR="00FA5DCA" w:rsidRDefault="00FA5DCA" w:rsidP="00856689">
      <w:pPr>
        <w:tabs>
          <w:tab w:val="left" w:pos="426"/>
          <w:tab w:val="left" w:pos="720"/>
        </w:tabs>
        <w:suppressAutoHyphens/>
        <w:spacing w:line="240" w:lineRule="atLeast"/>
        <w:ind w:left="426" w:hanging="426"/>
        <w:jc w:val="both"/>
        <w:rPr>
          <w:spacing w:val="-3"/>
          <w:lang w:val="en-CA"/>
        </w:rPr>
      </w:pPr>
      <w:r>
        <w:rPr>
          <w:spacing w:val="-3"/>
          <w:lang w:val="en-CA"/>
        </w:rPr>
        <w:t>(a)</w:t>
      </w:r>
      <w:r>
        <w:rPr>
          <w:spacing w:val="-3"/>
          <w:lang w:val="en-CA"/>
        </w:rPr>
        <w:tab/>
      </w:r>
      <w:r w:rsidR="00AE4F4B">
        <w:rPr>
          <w:spacing w:val="-2"/>
        </w:rPr>
        <w:t>D</w:t>
      </w:r>
      <w:r w:rsidRPr="00F257E7">
        <w:rPr>
          <w:spacing w:val="-2"/>
        </w:rPr>
        <w:t xml:space="preserve">irect observation of the peroxyl-radicals </w:t>
      </w:r>
      <w:r w:rsidR="00AE4F4B">
        <w:rPr>
          <w:spacing w:val="-2"/>
        </w:rPr>
        <w:t xml:space="preserve">at 248 nm, </w:t>
      </w:r>
      <w:r w:rsidRPr="00F257E7">
        <w:rPr>
          <w:spacing w:val="-2"/>
        </w:rPr>
        <w:t xml:space="preserve">formed by the reaction between </w:t>
      </w:r>
      <w:r w:rsidR="00AE4F4B">
        <w:t>HO</w:t>
      </w:r>
      <w:r w:rsidRPr="00F257E7">
        <w:rPr>
          <w:spacing w:val="-2"/>
        </w:rPr>
        <w:t xml:space="preserve">, </w:t>
      </w:r>
      <w:r>
        <w:rPr>
          <w:spacing w:val="-2"/>
        </w:rPr>
        <w:t>butanal</w:t>
      </w:r>
      <w:r w:rsidRPr="00F257E7">
        <w:rPr>
          <w:spacing w:val="-2"/>
        </w:rPr>
        <w:t xml:space="preserve"> and O</w:t>
      </w:r>
      <w:r w:rsidRPr="00F257E7">
        <w:rPr>
          <w:spacing w:val="-2"/>
          <w:vertAlign w:val="subscript"/>
        </w:rPr>
        <w:t>2</w:t>
      </w:r>
      <w:r w:rsidRPr="00FA5DCA">
        <w:rPr>
          <w:spacing w:val="-2"/>
        </w:rPr>
        <w:t>.</w:t>
      </w:r>
      <w:r w:rsidR="008D29F7">
        <w:rPr>
          <w:spacing w:val="-2"/>
        </w:rPr>
        <w:t xml:space="preserve"> Reviewed by Herrmann (2003).</w:t>
      </w:r>
    </w:p>
    <w:p w:rsidR="00FA5DCA" w:rsidRDefault="00FA5DCA" w:rsidP="00856689">
      <w:pPr>
        <w:tabs>
          <w:tab w:val="left" w:pos="426"/>
          <w:tab w:val="left" w:pos="720"/>
        </w:tabs>
        <w:suppressAutoHyphens/>
        <w:spacing w:line="240" w:lineRule="atLeast"/>
        <w:ind w:left="426" w:hanging="426"/>
        <w:jc w:val="both"/>
        <w:rPr>
          <w:lang w:val="en-CA"/>
        </w:rPr>
      </w:pPr>
    </w:p>
    <w:p w:rsidR="00FC186E" w:rsidRDefault="00FA5DCA" w:rsidP="00DB5F74">
      <w:pPr>
        <w:tabs>
          <w:tab w:val="left" w:pos="426"/>
          <w:tab w:val="left" w:pos="720"/>
        </w:tabs>
        <w:suppressAutoHyphens/>
        <w:spacing w:line="240" w:lineRule="atLeast"/>
        <w:ind w:left="426" w:hanging="426"/>
        <w:jc w:val="both"/>
        <w:rPr>
          <w:spacing w:val="-3"/>
          <w:lang w:val="en-CA"/>
        </w:rPr>
      </w:pPr>
      <w:r>
        <w:rPr>
          <w:lang w:val="en-CA"/>
        </w:rPr>
        <w:t>(b</w:t>
      </w:r>
      <w:r w:rsidR="00FC186E">
        <w:rPr>
          <w:lang w:val="en-CA"/>
        </w:rPr>
        <w:t>)</w:t>
      </w:r>
      <w:r w:rsidR="00FC186E">
        <w:rPr>
          <w:lang w:val="en-CA"/>
        </w:rPr>
        <w:tab/>
      </w:r>
      <w:r w:rsidR="00AE4F4B">
        <w:rPr>
          <w:rFonts w:eastAsia="Symbol" w:cs="Symbol"/>
          <w:spacing w:val="-2"/>
          <w:lang w:val="en-GB"/>
        </w:rPr>
        <w:t>Reference reaction:</w:t>
      </w:r>
      <w:r w:rsidR="00433612" w:rsidRPr="00AB48BD">
        <w:rPr>
          <w:rFonts w:eastAsia="Symbol" w:cs="Symbol"/>
          <w:spacing w:val="-2"/>
          <w:lang w:val="en-GB"/>
        </w:rPr>
        <w:t xml:space="preserve"> </w:t>
      </w:r>
      <w:proofErr w:type="gramStart"/>
      <w:r w:rsidR="00433612" w:rsidRPr="00AB48BD">
        <w:rPr>
          <w:rFonts w:eastAsia="Symbol" w:cs="Symbol"/>
          <w:i/>
          <w:lang w:val="en-GB"/>
        </w:rPr>
        <w:t>k</w:t>
      </w:r>
      <w:r w:rsidR="00433612">
        <w:rPr>
          <w:rFonts w:eastAsia="Symbol" w:cs="Symbol"/>
          <w:lang w:val="en-GB"/>
        </w:rPr>
        <w:t>(</w:t>
      </w:r>
      <w:proofErr w:type="gramEnd"/>
      <w:r w:rsidR="00AE4F4B">
        <w:rPr>
          <w:rFonts w:eastAsia="Symbol" w:cs="Symbol"/>
          <w:lang w:val="en-GB"/>
        </w:rPr>
        <w:t>HO</w:t>
      </w:r>
      <w:r w:rsidR="00433612" w:rsidRPr="00AB48BD">
        <w:rPr>
          <w:rFonts w:eastAsia="Symbol" w:cs="Symbol"/>
          <w:lang w:val="en-GB"/>
        </w:rPr>
        <w:t xml:space="preserve"> + SCN</w:t>
      </w:r>
      <w:r w:rsidR="00433612" w:rsidRPr="00AB48BD">
        <w:rPr>
          <w:rFonts w:eastAsia="Symbol" w:cs="Symbol"/>
          <w:vertAlign w:val="superscript"/>
          <w:lang w:val="en-GB"/>
        </w:rPr>
        <w:t>-</w:t>
      </w:r>
      <w:r w:rsidR="00433612" w:rsidRPr="00AB48BD">
        <w:rPr>
          <w:rFonts w:eastAsia="Symbol" w:cs="Symbol"/>
          <w:lang w:val="en-GB"/>
        </w:rPr>
        <w:t>) = 6.6 </w:t>
      </w:r>
      <w:r w:rsidR="00433612" w:rsidRPr="00AB48BD">
        <w:rPr>
          <w:rFonts w:ascii="Symbol" w:eastAsia="Symbol" w:hAnsi="Symbol" w:cs="Symbol"/>
          <w:spacing w:val="-3"/>
          <w:lang w:val="en-GB"/>
        </w:rPr>
        <w:t></w:t>
      </w:r>
      <w:r w:rsidR="00433612">
        <w:rPr>
          <w:rFonts w:eastAsia="Symbol" w:cs="Symbol"/>
          <w:spacing w:val="-2"/>
          <w:lang w:val="en-GB"/>
        </w:rPr>
        <w:t> </w:t>
      </w:r>
      <w:r w:rsidR="00433612" w:rsidRPr="00AB48BD">
        <w:rPr>
          <w:rFonts w:eastAsia="Symbol" w:cs="Symbol"/>
          <w:spacing w:val="-2"/>
          <w:lang w:val="en-GB"/>
        </w:rPr>
        <w:t>10</w:t>
      </w:r>
      <w:r w:rsidR="00433612" w:rsidRPr="00AB48BD">
        <w:rPr>
          <w:rFonts w:eastAsia="Symbol" w:cs="Symbol"/>
          <w:spacing w:val="-2"/>
          <w:vertAlign w:val="superscript"/>
          <w:lang w:val="en-GB"/>
        </w:rPr>
        <w:t>9</w:t>
      </w:r>
      <w:r w:rsidR="00433612">
        <w:rPr>
          <w:rFonts w:eastAsia="Symbol" w:cs="Symbol"/>
          <w:spacing w:val="-2"/>
          <w:lang w:val="en-GB"/>
        </w:rPr>
        <w:t> </w:t>
      </w:r>
      <w:r w:rsidR="00433612" w:rsidRPr="00AB48BD">
        <w:rPr>
          <w:rFonts w:eastAsia="Symbol" w:cs="Symbol"/>
          <w:spacing w:val="-2"/>
          <w:lang w:val="en-GB"/>
        </w:rPr>
        <w:t>M</w:t>
      </w:r>
      <w:r w:rsidR="00433612">
        <w:rPr>
          <w:rFonts w:eastAsia="Symbol" w:cs="Symbol"/>
          <w:spacing w:val="-2"/>
          <w:vertAlign w:val="superscript"/>
          <w:lang w:val="en-GB"/>
        </w:rPr>
        <w:noBreakHyphen/>
      </w:r>
      <w:r w:rsidR="00433612" w:rsidRPr="00AB48BD">
        <w:rPr>
          <w:rFonts w:eastAsia="Symbol" w:cs="Symbol"/>
          <w:spacing w:val="-2"/>
          <w:vertAlign w:val="superscript"/>
          <w:lang w:val="en-GB"/>
        </w:rPr>
        <w:t>1</w:t>
      </w:r>
      <w:r w:rsidR="00433612" w:rsidRPr="00AB48BD">
        <w:rPr>
          <w:rFonts w:eastAsia="Symbol" w:cs="Symbol"/>
          <w:spacing w:val="-2"/>
          <w:lang w:val="en-GB"/>
        </w:rPr>
        <w:t>s</w:t>
      </w:r>
      <w:r w:rsidR="00433612">
        <w:rPr>
          <w:rFonts w:eastAsia="Symbol" w:cs="Symbol"/>
          <w:spacing w:val="-2"/>
          <w:vertAlign w:val="superscript"/>
          <w:lang w:val="en-GB"/>
        </w:rPr>
        <w:noBreakHyphen/>
      </w:r>
      <w:r w:rsidR="00433612" w:rsidRPr="00AB48BD">
        <w:rPr>
          <w:rFonts w:eastAsia="Symbol" w:cs="Symbol"/>
          <w:spacing w:val="-2"/>
          <w:vertAlign w:val="superscript"/>
          <w:lang w:val="en-GB"/>
        </w:rPr>
        <w:t>1</w:t>
      </w:r>
      <w:r w:rsidR="00433612" w:rsidRPr="00AB48BD">
        <w:rPr>
          <w:rFonts w:eastAsia="Symbol" w:cs="Symbol"/>
          <w:spacing w:val="-2"/>
          <w:lang w:val="en-GB"/>
        </w:rPr>
        <w:t>;</w:t>
      </w:r>
      <w:r w:rsidR="00C91980">
        <w:rPr>
          <w:rFonts w:eastAsia="Symbol" w:cs="Symbol"/>
          <w:spacing w:val="-2"/>
          <w:lang w:val="en-GB"/>
        </w:rPr>
        <w:t xml:space="preserve"> a</w:t>
      </w:r>
      <w:r w:rsidR="00AE4F4B">
        <w:rPr>
          <w:rFonts w:eastAsia="Symbol" w:cs="Symbol"/>
          <w:spacing w:val="-2"/>
          <w:lang w:val="en-GB"/>
        </w:rPr>
        <w:t xml:space="preserve"> recalculation has been performed using the selected T dependence for the reference reaction by Zhu et al. (2003);</w:t>
      </w:r>
      <w:r w:rsidR="00433612" w:rsidRPr="00AB48BD">
        <w:rPr>
          <w:rFonts w:eastAsia="Symbol" w:cs="Symbol"/>
          <w:spacing w:val="-2"/>
          <w:lang w:val="en-GB"/>
        </w:rPr>
        <w:t xml:space="preserve"> </w:t>
      </w:r>
      <w:r w:rsidR="00AE4F4B">
        <w:rPr>
          <w:rFonts w:eastAsia="Symbol" w:cs="Symbol"/>
          <w:spacing w:val="-2"/>
          <w:lang w:val="en-GB"/>
        </w:rPr>
        <w:t>n</w:t>
      </w:r>
      <w:r w:rsidR="00AE4F4B" w:rsidRPr="00AB48BD">
        <w:rPr>
          <w:rFonts w:eastAsia="Symbol" w:cs="Symbol"/>
          <w:spacing w:val="-2"/>
          <w:lang w:val="en-GB"/>
        </w:rPr>
        <w:t xml:space="preserve">o </w:t>
      </w:r>
      <w:r w:rsidR="00433612" w:rsidRPr="00AB48BD">
        <w:rPr>
          <w:rFonts w:eastAsia="Symbol" w:cs="Symbol"/>
          <w:spacing w:val="-2"/>
          <w:lang w:val="en-GB"/>
        </w:rPr>
        <w:t>exact value is given for the initial concentrations of the reactants</w:t>
      </w:r>
      <w:r w:rsidR="0020062E">
        <w:rPr>
          <w:lang w:val="en-CA"/>
        </w:rPr>
        <w:t>; as no exact temperature is given, a room temperature of 294 K is assumed.</w:t>
      </w:r>
    </w:p>
    <w:p w:rsidR="008D654B" w:rsidRPr="00893259" w:rsidRDefault="008D654B" w:rsidP="00856689">
      <w:pPr>
        <w:tabs>
          <w:tab w:val="left" w:pos="426"/>
          <w:tab w:val="left" w:pos="720"/>
        </w:tabs>
        <w:suppressAutoHyphens/>
        <w:spacing w:line="240" w:lineRule="atLeast"/>
        <w:ind w:left="426" w:hanging="426"/>
        <w:jc w:val="both"/>
        <w:rPr>
          <w:spacing w:val="-3"/>
          <w:lang w:val="en-CA"/>
        </w:rPr>
      </w:pPr>
    </w:p>
    <w:p w:rsidR="00FD0802" w:rsidRPr="00E12CB0" w:rsidRDefault="00FA5DCA" w:rsidP="00856689">
      <w:pPr>
        <w:tabs>
          <w:tab w:val="left" w:pos="426"/>
          <w:tab w:val="left" w:pos="720"/>
        </w:tabs>
        <w:suppressAutoHyphens/>
        <w:spacing w:line="240" w:lineRule="atLeast"/>
        <w:ind w:left="426" w:hanging="426"/>
        <w:jc w:val="both"/>
        <w:rPr>
          <w:rFonts w:eastAsia="Symbol" w:cs="Symbol"/>
          <w:lang w:val="en-CA"/>
        </w:rPr>
      </w:pPr>
      <w:r>
        <w:rPr>
          <w:spacing w:val="-3"/>
          <w:lang w:val="en-CA"/>
        </w:rPr>
        <w:t>(</w:t>
      </w:r>
      <w:r w:rsidR="0020062E">
        <w:rPr>
          <w:spacing w:val="-3"/>
          <w:lang w:val="en-CA"/>
        </w:rPr>
        <w:t>c</w:t>
      </w:r>
      <w:r w:rsidR="006C3F47">
        <w:rPr>
          <w:spacing w:val="-3"/>
          <w:lang w:val="en-CA"/>
        </w:rPr>
        <w:t>)</w:t>
      </w:r>
      <w:r w:rsidR="006C3F47">
        <w:rPr>
          <w:spacing w:val="-3"/>
          <w:lang w:val="en-CA"/>
        </w:rPr>
        <w:tab/>
      </w:r>
      <w:r w:rsidR="00FD0802">
        <w:rPr>
          <w:rFonts w:eastAsia="Symbol" w:cs="Symbol"/>
          <w:lang w:val="en-CA"/>
        </w:rPr>
        <w:t xml:space="preserve">Radicals generated by dark Fenton reaction; Global rate constant for the reaction of </w:t>
      </w:r>
      <w:r w:rsidR="00AE4F4B">
        <w:rPr>
          <w:rFonts w:eastAsia="Symbol" w:cs="Symbol"/>
          <w:lang w:val="en-CA"/>
        </w:rPr>
        <w:t>HO</w:t>
      </w:r>
      <w:r w:rsidR="00FD0802">
        <w:rPr>
          <w:rFonts w:eastAsia="Symbol" w:cs="Symbol"/>
          <w:lang w:val="en-CA"/>
        </w:rPr>
        <w:t xml:space="preserve"> radicals with </w:t>
      </w:r>
      <w:r w:rsidR="00FC1E2A">
        <w:rPr>
          <w:rFonts w:eastAsia="Symbol" w:cs="Symbol"/>
          <w:lang w:val="en-CA"/>
        </w:rPr>
        <w:t>but</w:t>
      </w:r>
      <w:r w:rsidR="00FD0802">
        <w:rPr>
          <w:rFonts w:eastAsia="Symbol" w:cs="Symbol"/>
          <w:lang w:val="en-CA"/>
        </w:rPr>
        <w:t>anal</w:t>
      </w:r>
      <w:r w:rsidR="00B50395">
        <w:rPr>
          <w:rFonts w:eastAsia="Symbol" w:cs="Symbol"/>
          <w:lang w:val="en-CA"/>
        </w:rPr>
        <w:t xml:space="preserve"> (2)</w:t>
      </w:r>
      <w:r w:rsidR="00FD0802">
        <w:rPr>
          <w:rFonts w:eastAsia="Symbol" w:cs="Symbol"/>
          <w:lang w:val="en-CA"/>
        </w:rPr>
        <w:t xml:space="preserve"> and its hydrate</w:t>
      </w:r>
      <w:r w:rsidR="00B50395">
        <w:rPr>
          <w:rFonts w:eastAsia="Symbol" w:cs="Symbol"/>
          <w:lang w:val="en-CA"/>
        </w:rPr>
        <w:t xml:space="preserve"> (3)</w:t>
      </w:r>
      <w:r w:rsidR="00FD0802">
        <w:rPr>
          <w:rFonts w:eastAsia="Symbol" w:cs="Symbol"/>
          <w:lang w:val="en-CA"/>
        </w:rPr>
        <w:t xml:space="preserve"> has been determined; </w:t>
      </w:r>
      <w:proofErr w:type="spellStart"/>
      <w:r w:rsidR="00FD0802">
        <w:rPr>
          <w:rFonts w:eastAsia="Symbol" w:cs="Symbol"/>
          <w:i/>
          <w:lang w:val="en-CA"/>
        </w:rPr>
        <w:t>K</w:t>
      </w:r>
      <w:r w:rsidR="00FD0802">
        <w:rPr>
          <w:rFonts w:eastAsia="Symbol" w:cs="Symbol"/>
          <w:i/>
          <w:vertAlign w:val="subscript"/>
          <w:lang w:val="en-CA"/>
        </w:rPr>
        <w:t>hyd</w:t>
      </w:r>
      <w:proofErr w:type="spellEnd"/>
      <w:r w:rsidR="00FD0802">
        <w:rPr>
          <w:rFonts w:eastAsia="Symbol" w:cs="Symbol"/>
          <w:lang w:val="en-CA"/>
        </w:rPr>
        <w:t>(25° C) was considered to be 0.42 (Bell and Evans, 1966)</w:t>
      </w:r>
      <w:r w:rsidR="00AE4F4B">
        <w:rPr>
          <w:rFonts w:eastAsia="Symbol" w:cs="Symbol"/>
          <w:lang w:val="en-CA"/>
        </w:rPr>
        <w:t>;</w:t>
      </w:r>
      <w:r w:rsidR="00FD0802">
        <w:rPr>
          <w:rFonts w:eastAsia="Symbol" w:cs="Symbol"/>
          <w:lang w:val="en-CA"/>
        </w:rPr>
        <w:t xml:space="preserve"> </w:t>
      </w:r>
      <w:r w:rsidR="00AE4F4B">
        <w:rPr>
          <w:rFonts w:eastAsia="Symbol" w:cs="Symbol"/>
          <w:lang w:val="en-CA"/>
        </w:rPr>
        <w:t>no specific information given on the reference reactions used for the determination; in general, multiple references were used</w:t>
      </w:r>
      <w:r w:rsidR="00FD0802">
        <w:rPr>
          <w:rFonts w:eastAsia="Symbol" w:cs="Symbol"/>
          <w:lang w:val="en-CA"/>
        </w:rPr>
        <w:t xml:space="preserve">: </w:t>
      </w:r>
      <w:r w:rsidR="00AE4F4B">
        <w:rPr>
          <w:lang w:val="en-CA"/>
        </w:rPr>
        <w:lastRenderedPageBreak/>
        <w:t>HO</w:t>
      </w:r>
      <w:r w:rsidR="00FD0802">
        <w:rPr>
          <w:lang w:val="en-CA"/>
        </w:rPr>
        <w:t xml:space="preserve"> + methanol; </w:t>
      </w:r>
      <w:r w:rsidR="00FD0802">
        <w:rPr>
          <w:i/>
          <w:lang w:val="en-CA"/>
        </w:rPr>
        <w:t>k</w:t>
      </w:r>
      <w:r w:rsidR="00FD0802">
        <w:rPr>
          <w:lang w:val="en-CA"/>
        </w:rPr>
        <w:t>(T) = 9.7 </w:t>
      </w:r>
      <w:r w:rsidR="00FD0802" w:rsidRPr="00AB48BD">
        <w:rPr>
          <w:rFonts w:ascii="Symbol" w:eastAsia="Symbol" w:hAnsi="Symbol" w:cs="Symbol"/>
          <w:spacing w:val="-3"/>
          <w:lang w:val="en-GB"/>
        </w:rPr>
        <w:t></w:t>
      </w:r>
      <w:r w:rsidR="00FD0802" w:rsidRPr="00AB48BD">
        <w:rPr>
          <w:rFonts w:eastAsia="Symbol" w:cs="Symbol"/>
          <w:spacing w:val="-2"/>
          <w:lang w:val="en-GB"/>
        </w:rPr>
        <w:t> </w:t>
      </w:r>
      <w:r w:rsidR="00FD0802">
        <w:rPr>
          <w:lang w:val="en-CA"/>
        </w:rPr>
        <w:t>10</w:t>
      </w:r>
      <w:r w:rsidR="00FD0802">
        <w:rPr>
          <w:vertAlign w:val="superscript"/>
          <w:lang w:val="en-CA"/>
        </w:rPr>
        <w:t>8</w:t>
      </w:r>
      <w:r w:rsidR="00856689">
        <w:rPr>
          <w:lang w:val="en-CA"/>
        </w:rPr>
        <w:t> </w:t>
      </w:r>
      <w:r w:rsidR="00FD0802">
        <w:rPr>
          <w:lang w:val="en-CA"/>
        </w:rPr>
        <w:t xml:space="preserve">exp[-4800/R(1/T-1/298)] (Elliot and </w:t>
      </w:r>
      <w:proofErr w:type="spellStart"/>
      <w:r w:rsidR="00FD0802">
        <w:rPr>
          <w:lang w:val="en-CA"/>
        </w:rPr>
        <w:t>Simsons</w:t>
      </w:r>
      <w:proofErr w:type="spellEnd"/>
      <w:r w:rsidR="00FD0802">
        <w:rPr>
          <w:lang w:val="en-CA"/>
        </w:rPr>
        <w:t xml:space="preserve">, 1984); </w:t>
      </w:r>
      <w:r w:rsidR="00AE4F4B">
        <w:rPr>
          <w:lang w:val="en-CA"/>
        </w:rPr>
        <w:t>HO</w:t>
      </w:r>
      <w:r w:rsidR="00FD0802">
        <w:rPr>
          <w:lang w:val="en-CA"/>
        </w:rPr>
        <w:t xml:space="preserve"> + 2-propanol; </w:t>
      </w:r>
      <w:r w:rsidR="00FD0802">
        <w:rPr>
          <w:i/>
          <w:lang w:val="en-CA"/>
        </w:rPr>
        <w:t>k</w:t>
      </w:r>
      <w:r w:rsidR="00FD0802">
        <w:rPr>
          <w:lang w:val="en-CA"/>
        </w:rPr>
        <w:t>(T) = 1.6 </w:t>
      </w:r>
      <w:r w:rsidR="00FD0802" w:rsidRPr="00AB48BD">
        <w:rPr>
          <w:rFonts w:ascii="Symbol" w:eastAsia="Symbol" w:hAnsi="Symbol" w:cs="Symbol"/>
          <w:spacing w:val="-3"/>
          <w:lang w:val="en-GB"/>
        </w:rPr>
        <w:t></w:t>
      </w:r>
      <w:r w:rsidR="00FD0802" w:rsidRPr="00AB48BD">
        <w:rPr>
          <w:rFonts w:eastAsia="Symbol" w:cs="Symbol"/>
          <w:spacing w:val="-2"/>
          <w:lang w:val="en-GB"/>
        </w:rPr>
        <w:t> </w:t>
      </w:r>
      <w:r w:rsidR="00FD0802">
        <w:rPr>
          <w:lang w:val="en-CA"/>
        </w:rPr>
        <w:t>10</w:t>
      </w:r>
      <w:r w:rsidR="00FD0802">
        <w:rPr>
          <w:vertAlign w:val="superscript"/>
          <w:lang w:val="en-CA"/>
        </w:rPr>
        <w:t>9</w:t>
      </w:r>
      <w:r w:rsidR="00856689">
        <w:rPr>
          <w:lang w:val="en-CA"/>
        </w:rPr>
        <w:t> </w:t>
      </w:r>
      <w:r w:rsidR="00FD0802">
        <w:rPr>
          <w:lang w:val="en-CA"/>
        </w:rPr>
        <w:t xml:space="preserve">exp[-5000/R(1/T-1/298)] (Elliot and </w:t>
      </w:r>
      <w:proofErr w:type="spellStart"/>
      <w:r w:rsidR="00FD0802">
        <w:rPr>
          <w:lang w:val="en-CA"/>
        </w:rPr>
        <w:t>Simsons</w:t>
      </w:r>
      <w:proofErr w:type="spellEnd"/>
      <w:r w:rsidR="00FD0802">
        <w:rPr>
          <w:lang w:val="en-CA"/>
        </w:rPr>
        <w:t xml:space="preserve">, 1984); </w:t>
      </w:r>
      <w:r w:rsidR="00AE4F4B">
        <w:rPr>
          <w:lang w:val="en-CA"/>
        </w:rPr>
        <w:t>HO</w:t>
      </w:r>
      <w:r w:rsidR="00FD0802">
        <w:rPr>
          <w:lang w:val="en-CA"/>
        </w:rPr>
        <w:t xml:space="preserve"> + formaldehyde; </w:t>
      </w:r>
      <w:r w:rsidR="00FD0802">
        <w:rPr>
          <w:i/>
          <w:lang w:val="en-CA"/>
        </w:rPr>
        <w:t>k</w:t>
      </w:r>
      <w:r w:rsidR="00FD0802">
        <w:rPr>
          <w:lang w:val="en-CA"/>
        </w:rPr>
        <w:t>(T) = exp[</w:t>
      </w:r>
      <w:r w:rsidR="00856689">
        <w:rPr>
          <w:lang w:val="en-CA"/>
        </w:rPr>
        <w:t xml:space="preserve">(23.9±0.29) </w:t>
      </w:r>
      <w:r w:rsidR="00FD0802">
        <w:rPr>
          <w:lang w:val="en-CA"/>
        </w:rPr>
        <w:t>-</w:t>
      </w:r>
      <w:r w:rsidR="00856689">
        <w:rPr>
          <w:lang w:val="en-CA"/>
        </w:rPr>
        <w:t xml:space="preserve"> (</w:t>
      </w:r>
      <w:r w:rsidR="00FD0802">
        <w:rPr>
          <w:lang w:val="en-CA"/>
        </w:rPr>
        <w:t>1020±90/T)] (Chin and Wine, 1994).</w:t>
      </w:r>
    </w:p>
    <w:p w:rsidR="00FD0802" w:rsidRPr="00E938E4" w:rsidRDefault="00FD0802" w:rsidP="00DD1D44">
      <w:pPr>
        <w:tabs>
          <w:tab w:val="left" w:pos="0"/>
          <w:tab w:val="left" w:pos="444"/>
          <w:tab w:val="left" w:pos="720"/>
        </w:tabs>
        <w:suppressAutoHyphens/>
        <w:spacing w:line="240" w:lineRule="atLeast"/>
        <w:jc w:val="both"/>
        <w:rPr>
          <w:rFonts w:eastAsia="Symbol" w:cs="Symbol"/>
          <w:lang w:val="en-CA"/>
        </w:rPr>
      </w:pPr>
    </w:p>
    <w:p w:rsidR="00C94ED5" w:rsidRPr="005D4CF6" w:rsidRDefault="00C94ED5" w:rsidP="009E5505">
      <w:pPr>
        <w:tabs>
          <w:tab w:val="left" w:pos="426"/>
          <w:tab w:val="left" w:pos="720"/>
        </w:tabs>
        <w:suppressAutoHyphens/>
        <w:spacing w:line="240" w:lineRule="atLeast"/>
        <w:jc w:val="both"/>
        <w:rPr>
          <w:spacing w:val="-2"/>
          <w:lang w:val="en-US"/>
        </w:rPr>
      </w:pPr>
    </w:p>
    <w:p w:rsidR="00A12788" w:rsidRDefault="00A12788" w:rsidP="00821651">
      <w:pPr>
        <w:tabs>
          <w:tab w:val="left" w:pos="0"/>
          <w:tab w:val="left" w:pos="444"/>
          <w:tab w:val="left" w:pos="720"/>
        </w:tabs>
        <w:suppressAutoHyphens/>
        <w:spacing w:line="240" w:lineRule="atLeast"/>
        <w:jc w:val="center"/>
        <w:rPr>
          <w:b/>
          <w:spacing w:val="-3"/>
          <w:lang w:val="en-CA"/>
        </w:rPr>
      </w:pPr>
    </w:p>
    <w:p w:rsidR="007F4C67" w:rsidRPr="00F16250" w:rsidRDefault="007F4C67" w:rsidP="007F4C67">
      <w:pPr>
        <w:keepNext/>
        <w:keepLines/>
        <w:widowControl w:val="0"/>
        <w:tabs>
          <w:tab w:val="center" w:pos="4680"/>
        </w:tabs>
        <w:jc w:val="center"/>
        <w:outlineLvl w:val="0"/>
        <w:rPr>
          <w:rFonts w:ascii="Times New Roman" w:hAnsi="Times New Roman" w:cs="Times New Roman"/>
          <w:b/>
          <w:color w:val="000000"/>
          <w:lang w:val="de-DE" w:eastAsia="de-DE"/>
        </w:rPr>
      </w:pPr>
      <w:proofErr w:type="spellStart"/>
      <w:r w:rsidRPr="00F16250">
        <w:rPr>
          <w:rFonts w:ascii="Times New Roman" w:hAnsi="Times New Roman" w:cs="Times New Roman"/>
          <w:b/>
          <w:color w:val="000000"/>
          <w:lang w:val="de-DE" w:eastAsia="de-DE"/>
        </w:rPr>
        <w:t>Preferred</w:t>
      </w:r>
      <w:proofErr w:type="spellEnd"/>
      <w:r w:rsidRPr="00F16250">
        <w:rPr>
          <w:rFonts w:ascii="Times New Roman" w:hAnsi="Times New Roman" w:cs="Times New Roman"/>
          <w:b/>
          <w:color w:val="000000"/>
          <w:lang w:val="de-DE" w:eastAsia="de-DE"/>
        </w:rPr>
        <w:t xml:space="preserve"> Values</w:t>
      </w:r>
    </w:p>
    <w:p w:rsidR="007F4C67" w:rsidRPr="00F16250" w:rsidRDefault="007F4C67" w:rsidP="007F4C67">
      <w:pPr>
        <w:widowControl w:val="0"/>
        <w:rPr>
          <w:rFonts w:ascii="Times New Roman" w:hAnsi="Times New Roman" w:cs="Times New Roman"/>
          <w:color w:val="000000"/>
          <w:sz w:val="20"/>
          <w:szCs w:val="20"/>
          <w:lang w:val="de-DE" w:eastAsia="de-DE"/>
        </w:rPr>
      </w:pPr>
    </w:p>
    <w:tbl>
      <w:tblPr>
        <w:tblW w:w="9303" w:type="dxa"/>
        <w:tblInd w:w="-108" w:type="dxa"/>
        <w:tblLayout w:type="fixed"/>
        <w:tblLook w:val="0000" w:firstRow="0" w:lastRow="0" w:firstColumn="0" w:lastColumn="0" w:noHBand="0" w:noVBand="0"/>
      </w:tblPr>
      <w:tblGrid>
        <w:gridCol w:w="2059"/>
        <w:gridCol w:w="5069"/>
        <w:gridCol w:w="2175"/>
      </w:tblGrid>
      <w:tr w:rsidR="007F4C67" w:rsidRPr="00F16250" w:rsidTr="00604D2C">
        <w:tc>
          <w:tcPr>
            <w:tcW w:w="2059" w:type="dxa"/>
            <w:tcBorders>
              <w:top w:val="single" w:sz="4" w:space="0" w:color="000000"/>
              <w:bottom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F16250">
              <w:rPr>
                <w:rFonts w:ascii="Times New Roman" w:hAnsi="Times New Roman" w:cs="Times New Roman"/>
                <w:b/>
                <w:color w:val="000000"/>
                <w:lang w:val="de-DE" w:eastAsia="de-DE"/>
              </w:rPr>
              <w:t>Parameter</w:t>
            </w:r>
          </w:p>
        </w:tc>
        <w:tc>
          <w:tcPr>
            <w:tcW w:w="5069" w:type="dxa"/>
            <w:tcBorders>
              <w:top w:val="single" w:sz="4" w:space="0" w:color="000000"/>
              <w:bottom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F16250">
              <w:rPr>
                <w:rFonts w:ascii="Times New Roman" w:hAnsi="Times New Roman" w:cs="Times New Roman"/>
                <w:b/>
                <w:color w:val="000000"/>
                <w:lang w:val="de-DE" w:eastAsia="de-DE"/>
              </w:rPr>
              <w:t>Value</w:t>
            </w:r>
          </w:p>
        </w:tc>
        <w:tc>
          <w:tcPr>
            <w:tcW w:w="2175" w:type="dxa"/>
            <w:tcBorders>
              <w:top w:val="single" w:sz="4" w:space="0" w:color="000000"/>
              <w:bottom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F16250">
              <w:rPr>
                <w:rFonts w:ascii="Times New Roman" w:hAnsi="Times New Roman" w:cs="Times New Roman"/>
                <w:b/>
                <w:i/>
                <w:color w:val="000000"/>
                <w:lang w:val="de-DE" w:eastAsia="de-DE"/>
              </w:rPr>
              <w:t>T</w:t>
            </w:r>
            <w:r w:rsidRPr="00F16250">
              <w:rPr>
                <w:rFonts w:ascii="Times New Roman" w:hAnsi="Times New Roman" w:cs="Times New Roman"/>
                <w:b/>
                <w:color w:val="000000"/>
                <w:lang w:val="de-DE" w:eastAsia="de-DE"/>
              </w:rPr>
              <w:t>/K</w:t>
            </w:r>
          </w:p>
        </w:tc>
      </w:tr>
      <w:tr w:rsidR="007F4C67" w:rsidRPr="00F16250" w:rsidTr="00604D2C">
        <w:tc>
          <w:tcPr>
            <w:tcW w:w="2059" w:type="dxa"/>
            <w:tcBorders>
              <w:top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p>
        </w:tc>
        <w:tc>
          <w:tcPr>
            <w:tcW w:w="5069" w:type="dxa"/>
            <w:tcBorders>
              <w:top w:val="single" w:sz="4" w:space="0" w:color="000000"/>
            </w:tcBorders>
          </w:tcPr>
          <w:p w:rsidR="007F4C67" w:rsidRPr="00F16250" w:rsidRDefault="007F4C67" w:rsidP="00604D2C">
            <w:pPr>
              <w:widowControl w:val="0"/>
              <w:tabs>
                <w:tab w:val="left" w:pos="0"/>
                <w:tab w:val="left" w:pos="444"/>
                <w:tab w:val="left" w:pos="720"/>
              </w:tabs>
              <w:rPr>
                <w:rFonts w:ascii="Times New Roman" w:hAnsi="Times New Roman" w:cs="Times New Roman"/>
                <w:color w:val="000000"/>
                <w:sz w:val="20"/>
                <w:szCs w:val="20"/>
                <w:lang w:val="de-DE" w:eastAsia="de-DE"/>
              </w:rPr>
            </w:pPr>
          </w:p>
        </w:tc>
        <w:tc>
          <w:tcPr>
            <w:tcW w:w="2175" w:type="dxa"/>
            <w:tcBorders>
              <w:top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p>
        </w:tc>
      </w:tr>
      <w:tr w:rsidR="007F4C67" w:rsidRPr="00D161BF" w:rsidTr="00604D2C">
        <w:tc>
          <w:tcPr>
            <w:tcW w:w="2059" w:type="dxa"/>
          </w:tcPr>
          <w:p w:rsidR="007F4C67" w:rsidRPr="00D161BF" w:rsidRDefault="007F4C67" w:rsidP="00455EA0">
            <w:pPr>
              <w:widowControl w:val="0"/>
              <w:tabs>
                <w:tab w:val="left" w:pos="0"/>
                <w:tab w:val="left" w:pos="444"/>
                <w:tab w:val="left" w:pos="720"/>
              </w:tabs>
              <w:jc w:val="center"/>
              <w:rPr>
                <w:rFonts w:ascii="Times New Roman" w:hAnsi="Times New Roman" w:cs="Times New Roman"/>
                <w:lang w:val="de-DE" w:eastAsia="de-DE"/>
              </w:rPr>
            </w:pPr>
            <w:r w:rsidRPr="00D161BF">
              <w:rPr>
                <w:rFonts w:ascii="Times New Roman" w:hAnsi="Times New Roman" w:cs="Times New Roman"/>
                <w:i/>
                <w:lang w:val="de-DE" w:eastAsia="de-DE"/>
              </w:rPr>
              <w:t>k</w:t>
            </w:r>
            <w:r w:rsidRPr="00D161BF">
              <w:rPr>
                <w:rFonts w:ascii="Times New Roman" w:hAnsi="Times New Roman" w:cs="Times New Roman"/>
                <w:lang w:val="de-DE" w:eastAsia="de-DE"/>
              </w:rPr>
              <w:t xml:space="preserve"> / </w:t>
            </w:r>
            <w:r w:rsidR="00486CBB" w:rsidRPr="00D161BF">
              <w:rPr>
                <w:rFonts w:ascii="Times New Roman" w:hAnsi="Times New Roman" w:cs="Times New Roman"/>
                <w:lang w:val="de-DE" w:eastAsia="de-DE"/>
              </w:rPr>
              <w:t>L</w:t>
            </w:r>
            <w:r w:rsidRPr="00D161BF">
              <w:rPr>
                <w:rFonts w:ascii="Times New Roman" w:hAnsi="Times New Roman" w:cs="Times New Roman"/>
                <w:lang w:val="de-DE" w:eastAsia="de-DE"/>
              </w:rPr>
              <w:t xml:space="preserve"> mol</w:t>
            </w:r>
            <w:r w:rsidRPr="00D161BF">
              <w:rPr>
                <w:rFonts w:ascii="Times New Roman" w:hAnsi="Times New Roman" w:cs="Times New Roman"/>
                <w:vertAlign w:val="superscript"/>
                <w:lang w:val="de-DE" w:eastAsia="de-DE"/>
              </w:rPr>
              <w:t>-1</w:t>
            </w:r>
            <w:r w:rsidRPr="00D161BF">
              <w:rPr>
                <w:rFonts w:ascii="Times New Roman" w:hAnsi="Times New Roman" w:cs="Times New Roman"/>
                <w:lang w:val="de-DE" w:eastAsia="de-DE"/>
              </w:rPr>
              <w:t xml:space="preserve"> s</w:t>
            </w:r>
            <w:r w:rsidRPr="00D161BF">
              <w:rPr>
                <w:rFonts w:ascii="Times New Roman" w:hAnsi="Times New Roman" w:cs="Times New Roman"/>
                <w:vertAlign w:val="superscript"/>
                <w:lang w:val="de-DE" w:eastAsia="de-DE"/>
              </w:rPr>
              <w:t>-1</w:t>
            </w:r>
          </w:p>
        </w:tc>
        <w:tc>
          <w:tcPr>
            <w:tcW w:w="5069" w:type="dxa"/>
          </w:tcPr>
          <w:p w:rsidR="007F4C67" w:rsidRPr="00D161BF" w:rsidRDefault="00D161BF" w:rsidP="00AE4510">
            <w:pPr>
              <w:widowControl w:val="0"/>
              <w:tabs>
                <w:tab w:val="left" w:pos="0"/>
                <w:tab w:val="left" w:pos="444"/>
                <w:tab w:val="left" w:pos="720"/>
              </w:tabs>
              <w:jc w:val="center"/>
              <w:rPr>
                <w:rFonts w:ascii="Times New Roman" w:hAnsi="Times New Roman" w:cs="Times New Roman"/>
                <w:lang w:val="en-US" w:eastAsia="de-DE"/>
              </w:rPr>
            </w:pPr>
            <w:r>
              <w:rPr>
                <w:rFonts w:ascii="Times New Roman" w:hAnsi="Times New Roman" w:cs="Times New Roman"/>
                <w:lang w:val="en-US" w:eastAsia="de-DE"/>
              </w:rPr>
              <w:t>3.</w:t>
            </w:r>
            <w:r w:rsidR="000354C1">
              <w:rPr>
                <w:rFonts w:ascii="Times New Roman" w:hAnsi="Times New Roman" w:cs="Times New Roman"/>
                <w:lang w:val="en-US" w:eastAsia="de-DE"/>
              </w:rPr>
              <w:t>79</w:t>
            </w:r>
            <w:r w:rsidR="000354C1">
              <w:rPr>
                <w:lang w:val="en-CA"/>
              </w:rPr>
              <w:t> </w:t>
            </w:r>
            <w:r w:rsidRPr="00AB48BD">
              <w:rPr>
                <w:rFonts w:ascii="Symbol" w:eastAsia="Symbol" w:hAnsi="Symbol" w:cs="Symbol"/>
                <w:spacing w:val="-3"/>
                <w:lang w:val="en-GB"/>
              </w:rPr>
              <w:t></w:t>
            </w:r>
            <w:r w:rsidRPr="00AB48BD">
              <w:rPr>
                <w:rFonts w:eastAsia="Symbol" w:cs="Symbol"/>
                <w:spacing w:val="-2"/>
                <w:lang w:val="en-GB"/>
              </w:rPr>
              <w:t> </w:t>
            </w:r>
            <w:r>
              <w:rPr>
                <w:lang w:val="en-CA"/>
              </w:rPr>
              <w:t>10</w:t>
            </w:r>
            <w:r>
              <w:rPr>
                <w:vertAlign w:val="superscript"/>
                <w:lang w:val="en-CA"/>
              </w:rPr>
              <w:t>9</w:t>
            </w:r>
            <w:r>
              <w:rPr>
                <w:lang w:val="en-CA"/>
              </w:rPr>
              <w:t> </w:t>
            </w:r>
          </w:p>
        </w:tc>
        <w:tc>
          <w:tcPr>
            <w:tcW w:w="2175" w:type="dxa"/>
          </w:tcPr>
          <w:p w:rsidR="007F4C67" w:rsidRPr="00D161BF" w:rsidRDefault="00D161BF" w:rsidP="00604D2C">
            <w:pPr>
              <w:widowControl w:val="0"/>
              <w:tabs>
                <w:tab w:val="left" w:pos="0"/>
                <w:tab w:val="left" w:pos="444"/>
                <w:tab w:val="left" w:pos="720"/>
              </w:tabs>
              <w:jc w:val="center"/>
              <w:rPr>
                <w:rFonts w:ascii="Times New Roman" w:hAnsi="Times New Roman" w:cs="Times New Roman"/>
                <w:lang w:val="en-US" w:eastAsia="de-DE"/>
              </w:rPr>
            </w:pPr>
            <w:r>
              <w:rPr>
                <w:rFonts w:ascii="Times New Roman" w:hAnsi="Times New Roman" w:cs="Times New Roman"/>
                <w:lang w:val="en-US" w:eastAsia="de-DE"/>
              </w:rPr>
              <w:t>298</w:t>
            </w:r>
          </w:p>
        </w:tc>
      </w:tr>
      <w:tr w:rsidR="0027580C" w:rsidRPr="00D161BF" w:rsidTr="00604D2C">
        <w:tc>
          <w:tcPr>
            <w:tcW w:w="2059" w:type="dxa"/>
          </w:tcPr>
          <w:p w:rsidR="0027580C" w:rsidRPr="00D161BF" w:rsidRDefault="0027580C" w:rsidP="00604D2C">
            <w:pPr>
              <w:widowControl w:val="0"/>
              <w:tabs>
                <w:tab w:val="left" w:pos="0"/>
                <w:tab w:val="left" w:pos="444"/>
                <w:tab w:val="left" w:pos="720"/>
              </w:tabs>
              <w:jc w:val="center"/>
              <w:rPr>
                <w:rFonts w:ascii="Times New Roman" w:hAnsi="Times New Roman" w:cs="Times New Roman"/>
                <w:lang w:val="en-US" w:eastAsia="de-DE"/>
              </w:rPr>
            </w:pPr>
          </w:p>
        </w:tc>
        <w:tc>
          <w:tcPr>
            <w:tcW w:w="5069" w:type="dxa"/>
          </w:tcPr>
          <w:p w:rsidR="0027580C" w:rsidRPr="00D161BF" w:rsidRDefault="0027580C" w:rsidP="00D161BF">
            <w:pPr>
              <w:widowControl w:val="0"/>
              <w:tabs>
                <w:tab w:val="left" w:pos="0"/>
                <w:tab w:val="left" w:pos="444"/>
                <w:tab w:val="left" w:pos="720"/>
              </w:tabs>
              <w:jc w:val="center"/>
              <w:rPr>
                <w:rFonts w:ascii="Times New Roman" w:hAnsi="Times New Roman" w:cs="Times New Roman"/>
                <w:lang w:val="en-US" w:eastAsia="de-DE"/>
              </w:rPr>
            </w:pPr>
          </w:p>
        </w:tc>
        <w:tc>
          <w:tcPr>
            <w:tcW w:w="2175" w:type="dxa"/>
          </w:tcPr>
          <w:p w:rsidR="0027580C" w:rsidRPr="00D161BF" w:rsidRDefault="0027580C" w:rsidP="00604D2C">
            <w:pPr>
              <w:widowControl w:val="0"/>
              <w:tabs>
                <w:tab w:val="left" w:pos="0"/>
                <w:tab w:val="left" w:pos="444"/>
                <w:tab w:val="left" w:pos="720"/>
              </w:tabs>
              <w:jc w:val="center"/>
              <w:rPr>
                <w:rFonts w:ascii="Times New Roman" w:hAnsi="Times New Roman" w:cs="Times New Roman"/>
                <w:lang w:val="en-US" w:eastAsia="de-DE"/>
              </w:rPr>
            </w:pPr>
          </w:p>
        </w:tc>
      </w:tr>
      <w:tr w:rsidR="00D161BF" w:rsidRPr="00D161BF" w:rsidTr="00D161BF">
        <w:tc>
          <w:tcPr>
            <w:tcW w:w="2059" w:type="dxa"/>
          </w:tcPr>
          <w:p w:rsidR="00D161BF" w:rsidRPr="00D161BF" w:rsidRDefault="00D161BF" w:rsidP="002A41EB">
            <w:pPr>
              <w:widowControl w:val="0"/>
              <w:tabs>
                <w:tab w:val="left" w:pos="0"/>
                <w:tab w:val="left" w:pos="444"/>
                <w:tab w:val="left" w:pos="720"/>
              </w:tabs>
              <w:jc w:val="center"/>
              <w:rPr>
                <w:rFonts w:ascii="Times New Roman" w:hAnsi="Times New Roman" w:cs="Times New Roman"/>
                <w:lang w:val="en-US" w:eastAsia="de-DE"/>
              </w:rPr>
            </w:pPr>
            <w:r w:rsidRPr="00D161BF">
              <w:rPr>
                <w:rFonts w:ascii="Times New Roman" w:hAnsi="Times New Roman" w:cs="Times New Roman"/>
                <w:i/>
                <w:lang w:val="en-US" w:eastAsia="de-DE"/>
              </w:rPr>
              <w:t>k</w:t>
            </w:r>
            <w:r w:rsidRPr="00D161BF">
              <w:rPr>
                <w:rFonts w:ascii="Times New Roman" w:hAnsi="Times New Roman" w:cs="Times New Roman"/>
                <w:lang w:val="en-US" w:eastAsia="de-DE"/>
              </w:rPr>
              <w:t xml:space="preserve"> / L mol-1 s-1</w:t>
            </w:r>
          </w:p>
        </w:tc>
        <w:tc>
          <w:tcPr>
            <w:tcW w:w="5069" w:type="dxa"/>
          </w:tcPr>
          <w:p w:rsidR="00D161BF" w:rsidRPr="00D161BF" w:rsidRDefault="00AE4510" w:rsidP="0001701B">
            <w:pPr>
              <w:widowControl w:val="0"/>
              <w:tabs>
                <w:tab w:val="left" w:pos="0"/>
                <w:tab w:val="left" w:pos="444"/>
                <w:tab w:val="left" w:pos="720"/>
              </w:tabs>
              <w:jc w:val="center"/>
              <w:rPr>
                <w:rFonts w:ascii="Times New Roman" w:hAnsi="Times New Roman" w:cs="Times New Roman"/>
                <w:lang w:val="en-US" w:eastAsia="de-DE"/>
              </w:rPr>
            </w:pPr>
            <w:r>
              <w:rPr>
                <w:rFonts w:ascii="Times New Roman" w:hAnsi="Times New Roman" w:cs="Times New Roman"/>
                <w:lang w:val="en-US" w:eastAsia="de-DE"/>
              </w:rPr>
              <w:t>7.</w:t>
            </w:r>
            <w:r w:rsidR="000354C1">
              <w:rPr>
                <w:rFonts w:ascii="Times New Roman" w:hAnsi="Times New Roman" w:cs="Times New Roman"/>
                <w:lang w:val="en-US" w:eastAsia="de-DE"/>
              </w:rPr>
              <w:t>23</w:t>
            </w:r>
            <w:r w:rsidR="000354C1">
              <w:rPr>
                <w:lang w:val="en-CA"/>
              </w:rPr>
              <w:t> </w:t>
            </w:r>
            <w:r w:rsidR="00D161BF" w:rsidRPr="00AB48BD">
              <w:rPr>
                <w:rFonts w:ascii="Symbol" w:eastAsia="Symbol" w:hAnsi="Symbol" w:cs="Symbol"/>
                <w:spacing w:val="-3"/>
                <w:lang w:val="en-GB"/>
              </w:rPr>
              <w:t></w:t>
            </w:r>
            <w:r w:rsidR="00D161BF" w:rsidRPr="00AB48BD">
              <w:rPr>
                <w:rFonts w:eastAsia="Symbol" w:cs="Symbol"/>
                <w:spacing w:val="-2"/>
                <w:lang w:val="en-GB"/>
              </w:rPr>
              <w:t> </w:t>
            </w:r>
            <w:r w:rsidR="00D161BF">
              <w:rPr>
                <w:lang w:val="en-CA"/>
              </w:rPr>
              <w:t>10</w:t>
            </w:r>
            <w:r w:rsidR="00D161BF">
              <w:rPr>
                <w:vertAlign w:val="superscript"/>
                <w:lang w:val="en-CA"/>
              </w:rPr>
              <w:t>10</w:t>
            </w:r>
            <w:r w:rsidR="005F43DB">
              <w:rPr>
                <w:lang w:val="en-CA"/>
              </w:rPr>
              <w:t> </w:t>
            </w:r>
            <w:proofErr w:type="gramStart"/>
            <w:r w:rsidR="005F43DB">
              <w:rPr>
                <w:lang w:val="en-CA"/>
              </w:rPr>
              <w:t>exp[</w:t>
            </w:r>
            <w:proofErr w:type="gramEnd"/>
            <w:r w:rsidR="005F43DB">
              <w:rPr>
                <w:lang w:val="en-CA"/>
              </w:rPr>
              <w:t>-(</w:t>
            </w:r>
            <w:r w:rsidR="000354C1">
              <w:rPr>
                <w:lang w:val="en-CA"/>
              </w:rPr>
              <w:t>880</w:t>
            </w:r>
            <w:r w:rsidR="00D161BF">
              <w:rPr>
                <w:lang w:val="en-CA"/>
              </w:rPr>
              <w:t>)/T] </w:t>
            </w:r>
          </w:p>
        </w:tc>
        <w:tc>
          <w:tcPr>
            <w:tcW w:w="2175" w:type="dxa"/>
          </w:tcPr>
          <w:p w:rsidR="00D161BF" w:rsidRPr="00D161BF" w:rsidRDefault="00D161BF" w:rsidP="002A41EB">
            <w:pPr>
              <w:widowControl w:val="0"/>
              <w:tabs>
                <w:tab w:val="left" w:pos="0"/>
                <w:tab w:val="left" w:pos="444"/>
                <w:tab w:val="left" w:pos="720"/>
              </w:tabs>
              <w:jc w:val="center"/>
              <w:rPr>
                <w:rFonts w:ascii="Times New Roman" w:hAnsi="Times New Roman" w:cs="Times New Roman"/>
                <w:lang w:val="en-US" w:eastAsia="de-DE"/>
              </w:rPr>
            </w:pPr>
            <w:r>
              <w:rPr>
                <w:rFonts w:ascii="Times New Roman" w:hAnsi="Times New Roman" w:cs="Times New Roman"/>
                <w:lang w:val="en-US" w:eastAsia="de-DE"/>
              </w:rPr>
              <w:t>288 - 328</w:t>
            </w:r>
          </w:p>
        </w:tc>
      </w:tr>
      <w:tr w:rsidR="00D161BF" w:rsidRPr="00D161BF" w:rsidTr="00D161BF">
        <w:tc>
          <w:tcPr>
            <w:tcW w:w="2059" w:type="dxa"/>
          </w:tcPr>
          <w:p w:rsidR="00D161BF" w:rsidRPr="00D161BF" w:rsidRDefault="00D161BF" w:rsidP="002A41EB">
            <w:pPr>
              <w:widowControl w:val="0"/>
              <w:tabs>
                <w:tab w:val="left" w:pos="0"/>
                <w:tab w:val="left" w:pos="444"/>
                <w:tab w:val="left" w:pos="720"/>
              </w:tabs>
              <w:jc w:val="center"/>
              <w:rPr>
                <w:rFonts w:ascii="Times New Roman" w:hAnsi="Times New Roman" w:cs="Times New Roman"/>
                <w:lang w:val="en-US" w:eastAsia="de-DE"/>
              </w:rPr>
            </w:pPr>
          </w:p>
        </w:tc>
        <w:tc>
          <w:tcPr>
            <w:tcW w:w="5069" w:type="dxa"/>
          </w:tcPr>
          <w:p w:rsidR="00D161BF" w:rsidRPr="00D161BF" w:rsidRDefault="00D161BF" w:rsidP="00D161BF">
            <w:pPr>
              <w:widowControl w:val="0"/>
              <w:tabs>
                <w:tab w:val="left" w:pos="0"/>
                <w:tab w:val="left" w:pos="444"/>
                <w:tab w:val="left" w:pos="720"/>
              </w:tabs>
              <w:jc w:val="center"/>
              <w:rPr>
                <w:rFonts w:ascii="Times New Roman" w:hAnsi="Times New Roman" w:cs="Times New Roman"/>
                <w:lang w:val="en-US" w:eastAsia="de-DE"/>
              </w:rPr>
            </w:pPr>
          </w:p>
        </w:tc>
        <w:tc>
          <w:tcPr>
            <w:tcW w:w="2175" w:type="dxa"/>
          </w:tcPr>
          <w:p w:rsidR="00D161BF" w:rsidRPr="00D161BF" w:rsidRDefault="00D161BF" w:rsidP="002A41EB">
            <w:pPr>
              <w:widowControl w:val="0"/>
              <w:tabs>
                <w:tab w:val="left" w:pos="0"/>
                <w:tab w:val="left" w:pos="444"/>
                <w:tab w:val="left" w:pos="720"/>
              </w:tabs>
              <w:jc w:val="center"/>
              <w:rPr>
                <w:rFonts w:ascii="Times New Roman" w:hAnsi="Times New Roman" w:cs="Times New Roman"/>
                <w:lang w:val="en-US" w:eastAsia="de-DE"/>
              </w:rPr>
            </w:pPr>
          </w:p>
        </w:tc>
      </w:tr>
    </w:tbl>
    <w:p w:rsidR="007F4C67" w:rsidRPr="00D161BF" w:rsidRDefault="007F4C67" w:rsidP="007F4C67">
      <w:pPr>
        <w:widowControl w:val="0"/>
        <w:tabs>
          <w:tab w:val="left" w:pos="0"/>
          <w:tab w:val="left" w:pos="444"/>
          <w:tab w:val="left" w:pos="720"/>
        </w:tabs>
        <w:jc w:val="both"/>
        <w:rPr>
          <w:rFonts w:ascii="Times New Roman" w:hAnsi="Times New Roman" w:cs="Times New Roman"/>
          <w:lang w:val="en-US" w:eastAsia="de-DE"/>
        </w:rPr>
      </w:pPr>
    </w:p>
    <w:p w:rsidR="007F4C67" w:rsidRPr="002B69B0" w:rsidRDefault="007F4C67" w:rsidP="007F4C67">
      <w:pPr>
        <w:widowControl w:val="0"/>
        <w:tabs>
          <w:tab w:val="left" w:pos="0"/>
          <w:tab w:val="left" w:pos="444"/>
          <w:tab w:val="left" w:pos="720"/>
        </w:tabs>
        <w:jc w:val="both"/>
        <w:rPr>
          <w:rFonts w:ascii="Times New Roman" w:hAnsi="Times New Roman" w:cs="Times New Roman"/>
          <w:color w:val="000000"/>
          <w:sz w:val="20"/>
          <w:szCs w:val="20"/>
          <w:lang w:val="en-US" w:eastAsia="de-DE"/>
        </w:rPr>
      </w:pPr>
      <w:r w:rsidRPr="002B69B0">
        <w:rPr>
          <w:rFonts w:ascii="Times New Roman" w:hAnsi="Times New Roman" w:cs="Times New Roman"/>
          <w:i/>
          <w:color w:val="000000"/>
          <w:lang w:val="en-US" w:eastAsia="de-DE"/>
        </w:rPr>
        <w:t>Reliabilit</w:t>
      </w:r>
      <w:bookmarkStart w:id="0" w:name="_GoBack"/>
      <w:bookmarkEnd w:id="0"/>
      <w:r w:rsidRPr="002B69B0">
        <w:rPr>
          <w:rFonts w:ascii="Times New Roman" w:hAnsi="Times New Roman" w:cs="Times New Roman"/>
          <w:i/>
          <w:color w:val="000000"/>
          <w:lang w:val="en-US" w:eastAsia="de-DE"/>
        </w:rPr>
        <w:t>y</w:t>
      </w:r>
    </w:p>
    <w:tbl>
      <w:tblPr>
        <w:tblW w:w="93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040"/>
        <w:gridCol w:w="2175"/>
      </w:tblGrid>
      <w:tr w:rsidR="007F4C67" w:rsidRPr="00D161BF" w:rsidTr="00604D2C">
        <w:tc>
          <w:tcPr>
            <w:tcW w:w="2088" w:type="dxa"/>
            <w:tcBorders>
              <w:top w:val="nil"/>
              <w:left w:val="nil"/>
              <w:bottom w:val="nil"/>
              <w:right w:val="nil"/>
            </w:tcBorders>
          </w:tcPr>
          <w:p w:rsidR="007F4C67" w:rsidRPr="00D161BF" w:rsidRDefault="007F4C67" w:rsidP="00604D2C">
            <w:pPr>
              <w:widowControl w:val="0"/>
              <w:tabs>
                <w:tab w:val="left" w:pos="0"/>
                <w:tab w:val="left" w:pos="444"/>
                <w:tab w:val="left" w:pos="720"/>
              </w:tabs>
              <w:jc w:val="center"/>
              <w:rPr>
                <w:rFonts w:ascii="Times New Roman" w:hAnsi="Times New Roman" w:cs="Times New Roman"/>
                <w:color w:val="000000"/>
                <w:lang w:val="en-US" w:eastAsia="de-DE"/>
              </w:rPr>
            </w:pPr>
            <w:r w:rsidRPr="00D161BF">
              <w:rPr>
                <w:rFonts w:ascii="Times New Roman" w:hAnsi="Times New Roman" w:cs="Times New Roman"/>
                <w:color w:val="000000"/>
                <w:lang w:val="de-DE" w:eastAsia="de-DE"/>
              </w:rPr>
              <w:t>Δ</w:t>
            </w:r>
            <w:r w:rsidRPr="00D161BF">
              <w:rPr>
                <w:rFonts w:ascii="Times New Roman" w:hAnsi="Times New Roman" w:cs="Times New Roman"/>
                <w:color w:val="000000"/>
                <w:lang w:val="en-US" w:eastAsia="de-DE"/>
              </w:rPr>
              <w:t xml:space="preserve"> log</w:t>
            </w:r>
            <w:r w:rsidRPr="00D161BF">
              <w:rPr>
                <w:rFonts w:ascii="Times New Roman" w:hAnsi="Times New Roman" w:cs="Times New Roman"/>
                <w:i/>
                <w:color w:val="000000"/>
                <w:lang w:val="en-US" w:eastAsia="de-DE"/>
              </w:rPr>
              <w:t xml:space="preserve"> k</w:t>
            </w:r>
          </w:p>
        </w:tc>
        <w:tc>
          <w:tcPr>
            <w:tcW w:w="5040" w:type="dxa"/>
            <w:tcBorders>
              <w:top w:val="nil"/>
              <w:left w:val="nil"/>
              <w:bottom w:val="nil"/>
              <w:right w:val="nil"/>
            </w:tcBorders>
          </w:tcPr>
          <w:p w:rsidR="007F4C67" w:rsidRPr="00D161BF" w:rsidRDefault="00D161BF" w:rsidP="00AB3143">
            <w:pPr>
              <w:widowControl w:val="0"/>
              <w:tabs>
                <w:tab w:val="left" w:pos="0"/>
                <w:tab w:val="left" w:pos="444"/>
                <w:tab w:val="left" w:pos="720"/>
              </w:tabs>
              <w:rPr>
                <w:rFonts w:ascii="Times New Roman" w:hAnsi="Times New Roman" w:cs="Times New Roman"/>
                <w:color w:val="000000"/>
                <w:lang w:val="en-US" w:eastAsia="de-DE"/>
              </w:rPr>
            </w:pPr>
            <w:r w:rsidRPr="00D161BF">
              <w:rPr>
                <w:rFonts w:ascii="Times New Roman" w:hAnsi="Times New Roman" w:cs="Times New Roman"/>
                <w:color w:val="000000"/>
                <w:lang w:val="en-US" w:eastAsia="de-DE"/>
              </w:rPr>
              <w:t>0.</w:t>
            </w:r>
            <w:r w:rsidR="000354C1">
              <w:rPr>
                <w:rFonts w:ascii="Times New Roman" w:hAnsi="Times New Roman" w:cs="Times New Roman"/>
                <w:color w:val="000000"/>
                <w:lang w:val="en-US" w:eastAsia="de-DE"/>
              </w:rPr>
              <w:t>09</w:t>
            </w:r>
          </w:p>
        </w:tc>
        <w:tc>
          <w:tcPr>
            <w:tcW w:w="2175" w:type="dxa"/>
            <w:tcBorders>
              <w:top w:val="nil"/>
              <w:left w:val="nil"/>
              <w:bottom w:val="nil"/>
              <w:right w:val="nil"/>
            </w:tcBorders>
          </w:tcPr>
          <w:p w:rsidR="007F4C67" w:rsidRPr="00D161BF" w:rsidRDefault="00D161BF" w:rsidP="00604D2C">
            <w:pPr>
              <w:widowControl w:val="0"/>
              <w:tabs>
                <w:tab w:val="left" w:pos="0"/>
                <w:tab w:val="left" w:pos="444"/>
                <w:tab w:val="left" w:pos="720"/>
              </w:tabs>
              <w:jc w:val="center"/>
              <w:rPr>
                <w:rFonts w:ascii="Times New Roman" w:hAnsi="Times New Roman" w:cs="Times New Roman"/>
                <w:color w:val="000000"/>
                <w:lang w:val="en-US" w:eastAsia="de-DE"/>
              </w:rPr>
            </w:pPr>
            <w:r>
              <w:rPr>
                <w:rFonts w:ascii="Times New Roman" w:hAnsi="Times New Roman" w:cs="Times New Roman"/>
                <w:color w:val="000000"/>
                <w:lang w:val="en-US" w:eastAsia="de-DE"/>
              </w:rPr>
              <w:t>298</w:t>
            </w:r>
          </w:p>
        </w:tc>
      </w:tr>
      <w:tr w:rsidR="007F4C67" w:rsidRPr="00D161BF" w:rsidTr="00604D2C">
        <w:tc>
          <w:tcPr>
            <w:tcW w:w="2088" w:type="dxa"/>
            <w:tcBorders>
              <w:top w:val="nil"/>
              <w:left w:val="nil"/>
              <w:bottom w:val="nil"/>
              <w:right w:val="nil"/>
            </w:tcBorders>
          </w:tcPr>
          <w:p w:rsidR="007F4C67" w:rsidRPr="00D161BF" w:rsidRDefault="007F4C67" w:rsidP="00604D2C">
            <w:pPr>
              <w:widowControl w:val="0"/>
              <w:tabs>
                <w:tab w:val="left" w:pos="0"/>
                <w:tab w:val="left" w:pos="444"/>
                <w:tab w:val="left" w:pos="720"/>
              </w:tabs>
              <w:jc w:val="center"/>
              <w:rPr>
                <w:rFonts w:ascii="Times New Roman" w:hAnsi="Times New Roman" w:cs="Times New Roman"/>
                <w:color w:val="000000"/>
                <w:lang w:val="en-US" w:eastAsia="de-DE"/>
              </w:rPr>
            </w:pPr>
            <w:r w:rsidRPr="00D161BF">
              <w:rPr>
                <w:rFonts w:ascii="Times New Roman" w:hAnsi="Times New Roman" w:cs="Times New Roman"/>
                <w:color w:val="000000"/>
                <w:lang w:val="de-DE" w:eastAsia="de-DE"/>
              </w:rPr>
              <w:t>Δ</w:t>
            </w:r>
            <w:r w:rsidRPr="00D161BF">
              <w:rPr>
                <w:rFonts w:ascii="Times New Roman" w:hAnsi="Times New Roman" w:cs="Times New Roman"/>
                <w:color w:val="000000"/>
                <w:lang w:val="en-US" w:eastAsia="de-DE"/>
              </w:rPr>
              <w:t xml:space="preserve"> E</w:t>
            </w:r>
            <w:r w:rsidRPr="00D161BF">
              <w:rPr>
                <w:rFonts w:ascii="Times New Roman" w:hAnsi="Times New Roman" w:cs="Times New Roman"/>
                <w:color w:val="000000"/>
                <w:vertAlign w:val="subscript"/>
                <w:lang w:val="en-US" w:eastAsia="de-DE"/>
              </w:rPr>
              <w:t>A</w:t>
            </w:r>
            <w:r w:rsidRPr="00D161BF">
              <w:rPr>
                <w:rFonts w:ascii="Times New Roman" w:hAnsi="Times New Roman" w:cs="Times New Roman"/>
                <w:color w:val="000000"/>
                <w:lang w:val="en-US" w:eastAsia="de-DE"/>
              </w:rPr>
              <w:t>/R</w:t>
            </w:r>
          </w:p>
        </w:tc>
        <w:tc>
          <w:tcPr>
            <w:tcW w:w="5040" w:type="dxa"/>
            <w:tcBorders>
              <w:top w:val="nil"/>
              <w:left w:val="nil"/>
              <w:bottom w:val="nil"/>
              <w:right w:val="nil"/>
            </w:tcBorders>
          </w:tcPr>
          <w:p w:rsidR="007F4C67" w:rsidRPr="00D161BF" w:rsidRDefault="00D161BF" w:rsidP="005F43DB">
            <w:pPr>
              <w:widowControl w:val="0"/>
              <w:tabs>
                <w:tab w:val="left" w:pos="0"/>
                <w:tab w:val="left" w:pos="444"/>
                <w:tab w:val="left" w:pos="720"/>
              </w:tabs>
              <w:rPr>
                <w:rFonts w:ascii="Times New Roman" w:hAnsi="Times New Roman" w:cs="Times New Roman"/>
                <w:color w:val="000000"/>
                <w:lang w:val="en-US" w:eastAsia="de-DE"/>
              </w:rPr>
            </w:pPr>
            <w:r w:rsidRPr="00D161BF">
              <w:rPr>
                <w:rFonts w:ascii="Times New Roman" w:hAnsi="Times New Roman" w:cs="Times New Roman"/>
                <w:color w:val="000000"/>
                <w:lang w:val="en-US" w:eastAsia="de-DE"/>
              </w:rPr>
              <w:t>±</w:t>
            </w:r>
            <w:r w:rsidR="000354C1">
              <w:rPr>
                <w:rFonts w:ascii="Times New Roman" w:hAnsi="Times New Roman" w:cs="Times New Roman"/>
                <w:color w:val="000000"/>
                <w:lang w:val="en-US" w:eastAsia="de-DE"/>
              </w:rPr>
              <w:t>90</w:t>
            </w:r>
          </w:p>
        </w:tc>
        <w:tc>
          <w:tcPr>
            <w:tcW w:w="2175" w:type="dxa"/>
            <w:tcBorders>
              <w:top w:val="nil"/>
              <w:left w:val="nil"/>
              <w:bottom w:val="nil"/>
              <w:right w:val="nil"/>
            </w:tcBorders>
          </w:tcPr>
          <w:p w:rsidR="007F4C67" w:rsidRPr="00D161BF" w:rsidRDefault="00D161BF" w:rsidP="00604D2C">
            <w:pPr>
              <w:widowControl w:val="0"/>
              <w:tabs>
                <w:tab w:val="left" w:pos="0"/>
                <w:tab w:val="left" w:pos="444"/>
                <w:tab w:val="left" w:pos="720"/>
              </w:tabs>
              <w:jc w:val="center"/>
              <w:rPr>
                <w:rFonts w:ascii="Times New Roman" w:hAnsi="Times New Roman" w:cs="Times New Roman"/>
                <w:color w:val="000000"/>
                <w:lang w:val="en-US" w:eastAsia="de-DE"/>
              </w:rPr>
            </w:pPr>
            <w:r>
              <w:rPr>
                <w:rFonts w:ascii="Times New Roman" w:hAnsi="Times New Roman" w:cs="Times New Roman"/>
                <w:color w:val="000000"/>
                <w:lang w:val="en-US" w:eastAsia="de-DE"/>
              </w:rPr>
              <w:t>288 - 328</w:t>
            </w:r>
          </w:p>
        </w:tc>
      </w:tr>
      <w:tr w:rsidR="002B69B0" w:rsidRPr="00D161BF" w:rsidTr="00604D2C">
        <w:tc>
          <w:tcPr>
            <w:tcW w:w="2088" w:type="dxa"/>
            <w:tcBorders>
              <w:top w:val="nil"/>
              <w:left w:val="nil"/>
              <w:bottom w:val="nil"/>
              <w:right w:val="nil"/>
            </w:tcBorders>
          </w:tcPr>
          <w:p w:rsidR="002B69B0" w:rsidRPr="00D161BF" w:rsidRDefault="002B69B0" w:rsidP="00604D2C">
            <w:pPr>
              <w:widowControl w:val="0"/>
              <w:tabs>
                <w:tab w:val="left" w:pos="0"/>
                <w:tab w:val="left" w:pos="444"/>
                <w:tab w:val="left" w:pos="720"/>
              </w:tabs>
              <w:jc w:val="center"/>
              <w:rPr>
                <w:rFonts w:ascii="Times New Roman" w:hAnsi="Times New Roman" w:cs="Times New Roman"/>
                <w:color w:val="000000"/>
                <w:lang w:val="de-DE" w:eastAsia="de-DE"/>
              </w:rPr>
            </w:pPr>
          </w:p>
        </w:tc>
        <w:tc>
          <w:tcPr>
            <w:tcW w:w="5040" w:type="dxa"/>
            <w:tcBorders>
              <w:top w:val="nil"/>
              <w:left w:val="nil"/>
              <w:bottom w:val="nil"/>
              <w:right w:val="nil"/>
            </w:tcBorders>
          </w:tcPr>
          <w:p w:rsidR="002B69B0" w:rsidRPr="00D161BF" w:rsidRDefault="002B69B0" w:rsidP="00604D2C">
            <w:pPr>
              <w:widowControl w:val="0"/>
              <w:tabs>
                <w:tab w:val="left" w:pos="0"/>
                <w:tab w:val="left" w:pos="444"/>
                <w:tab w:val="left" w:pos="720"/>
              </w:tabs>
              <w:rPr>
                <w:rFonts w:ascii="Times New Roman" w:hAnsi="Times New Roman" w:cs="Times New Roman"/>
                <w:color w:val="000000"/>
                <w:lang w:val="en-US" w:eastAsia="de-DE"/>
              </w:rPr>
            </w:pPr>
          </w:p>
        </w:tc>
        <w:tc>
          <w:tcPr>
            <w:tcW w:w="2175" w:type="dxa"/>
            <w:tcBorders>
              <w:top w:val="nil"/>
              <w:left w:val="nil"/>
              <w:bottom w:val="nil"/>
              <w:right w:val="nil"/>
            </w:tcBorders>
          </w:tcPr>
          <w:p w:rsidR="002B69B0" w:rsidRPr="00D161BF" w:rsidRDefault="002B69B0" w:rsidP="00604D2C">
            <w:pPr>
              <w:widowControl w:val="0"/>
              <w:tabs>
                <w:tab w:val="left" w:pos="0"/>
                <w:tab w:val="left" w:pos="444"/>
                <w:tab w:val="left" w:pos="720"/>
              </w:tabs>
              <w:jc w:val="center"/>
              <w:rPr>
                <w:rFonts w:ascii="Times New Roman" w:hAnsi="Times New Roman" w:cs="Times New Roman"/>
                <w:color w:val="000000"/>
                <w:lang w:val="en-US" w:eastAsia="de-DE"/>
              </w:rPr>
            </w:pPr>
          </w:p>
        </w:tc>
      </w:tr>
    </w:tbl>
    <w:p w:rsidR="007F4C67" w:rsidRPr="00D161BF" w:rsidRDefault="007F4C67" w:rsidP="007F4C67">
      <w:pPr>
        <w:widowControl w:val="0"/>
        <w:tabs>
          <w:tab w:val="left" w:pos="0"/>
          <w:tab w:val="left" w:pos="444"/>
          <w:tab w:val="left" w:pos="720"/>
        </w:tabs>
        <w:jc w:val="both"/>
        <w:rPr>
          <w:rFonts w:ascii="Times New Roman" w:hAnsi="Times New Roman" w:cs="Times New Roman"/>
          <w:color w:val="000000"/>
          <w:lang w:val="en-US" w:eastAsia="de-DE"/>
        </w:rPr>
      </w:pPr>
    </w:p>
    <w:p w:rsidR="00D161BF" w:rsidRPr="00D161BF" w:rsidRDefault="00D161BF" w:rsidP="007F4C67">
      <w:pPr>
        <w:widowControl w:val="0"/>
        <w:tabs>
          <w:tab w:val="left" w:pos="0"/>
          <w:tab w:val="left" w:pos="444"/>
          <w:tab w:val="left" w:pos="720"/>
        </w:tabs>
        <w:jc w:val="both"/>
        <w:rPr>
          <w:rFonts w:ascii="Times New Roman" w:hAnsi="Times New Roman" w:cs="Times New Roman"/>
          <w:color w:val="000000"/>
          <w:lang w:val="en-US" w:eastAsia="de-DE"/>
        </w:rPr>
      </w:pPr>
    </w:p>
    <w:p w:rsidR="007F4C67" w:rsidRPr="00F16250" w:rsidRDefault="007F4C67" w:rsidP="007F4C67">
      <w:pPr>
        <w:widowControl w:val="0"/>
        <w:tabs>
          <w:tab w:val="left" w:pos="0"/>
          <w:tab w:val="left" w:pos="444"/>
          <w:tab w:val="left" w:pos="720"/>
        </w:tabs>
        <w:jc w:val="both"/>
        <w:rPr>
          <w:rFonts w:ascii="Times New Roman" w:hAnsi="Times New Roman" w:cs="Times New Roman"/>
          <w:color w:val="000000"/>
          <w:sz w:val="20"/>
          <w:szCs w:val="20"/>
          <w:lang w:val="en-US" w:eastAsia="de-DE"/>
        </w:rPr>
      </w:pPr>
      <w:r w:rsidRPr="00F16250">
        <w:rPr>
          <w:rFonts w:ascii="Times New Roman" w:hAnsi="Times New Roman" w:cs="Times New Roman"/>
          <w:i/>
          <w:color w:val="000000"/>
          <w:lang w:val="en-US" w:eastAsia="de-DE"/>
        </w:rPr>
        <w:t>Comments on Preferred Values</w:t>
      </w:r>
    </w:p>
    <w:p w:rsidR="00450818" w:rsidRDefault="00450818" w:rsidP="00404CD3">
      <w:pPr>
        <w:tabs>
          <w:tab w:val="left" w:pos="0"/>
          <w:tab w:val="left" w:pos="444"/>
          <w:tab w:val="left" w:pos="720"/>
        </w:tabs>
        <w:suppressAutoHyphens/>
        <w:spacing w:line="240" w:lineRule="atLeast"/>
        <w:rPr>
          <w:spacing w:val="-3"/>
          <w:sz w:val="22"/>
          <w:szCs w:val="22"/>
          <w:lang w:val="en-US"/>
        </w:rPr>
      </w:pPr>
    </w:p>
    <w:p w:rsidR="00D161BF" w:rsidRPr="0020062E" w:rsidRDefault="000354C1" w:rsidP="0020062E">
      <w:pPr>
        <w:tabs>
          <w:tab w:val="left" w:pos="0"/>
          <w:tab w:val="left" w:pos="426"/>
        </w:tabs>
        <w:suppressAutoHyphens/>
        <w:spacing w:line="240" w:lineRule="atLeast"/>
        <w:jc w:val="both"/>
        <w:rPr>
          <w:rFonts w:ascii="Times New Roman" w:hAnsi="Times New Roman" w:cs="Times New Roman"/>
          <w:spacing w:val="-3"/>
          <w:lang w:val="en-US"/>
        </w:rPr>
      </w:pPr>
      <w:r w:rsidRPr="0020062E">
        <w:rPr>
          <w:rFonts w:ascii="Times New Roman" w:hAnsi="Times New Roman" w:cs="Times New Roman"/>
          <w:spacing w:val="-3"/>
          <w:lang w:val="en-US"/>
        </w:rPr>
        <w:t xml:space="preserve">Since the last recommendation of Buxton et al. in 1988, referring to the rate coefficient by Adams et al. (1965) a temperature dependent study by Hesper (2003) became available. The combined data of both agree well within error limits. </w:t>
      </w:r>
      <w:r w:rsidRPr="0020062E">
        <w:rPr>
          <w:rFonts w:ascii="Times New Roman" w:hAnsi="Times New Roman" w:cs="Times New Roman"/>
          <w:spacing w:val="-3"/>
          <w:lang w:val="en-CA"/>
        </w:rPr>
        <w:t xml:space="preserve">The rate coefficient determined by Monod et al. (2005) could not be used for further evaluation, as the publication does not refer to the specific reference reactions. It is assumed, that the value given results from a mean of determinations versus several reference systems. </w:t>
      </w:r>
      <w:r w:rsidR="0020062E">
        <w:rPr>
          <w:rFonts w:ascii="Times New Roman" w:hAnsi="Times New Roman" w:cs="Times New Roman"/>
          <w:spacing w:val="-3"/>
          <w:lang w:val="en-CA"/>
        </w:rPr>
        <w:t>While their determination confirms the data of Hesper (2003), i</w:t>
      </w:r>
      <w:r w:rsidRPr="0020062E">
        <w:rPr>
          <w:rFonts w:ascii="Times New Roman" w:hAnsi="Times New Roman" w:cs="Times New Roman"/>
          <w:spacing w:val="-3"/>
          <w:lang w:val="en-CA"/>
        </w:rPr>
        <w:t xml:space="preserve">t is therefore not included in the regression for the determination of the preferred value. The estimated uncertainty is given as </w:t>
      </w:r>
      <w:r w:rsidRPr="0020062E">
        <w:rPr>
          <w:rFonts w:ascii="Times New Roman" w:hAnsi="Times New Roman" w:cs="Times New Roman"/>
          <w:color w:val="000000"/>
          <w:lang w:val="de-DE" w:eastAsia="de-DE"/>
        </w:rPr>
        <w:t>Δ</w:t>
      </w:r>
      <w:r w:rsidRPr="0020062E">
        <w:rPr>
          <w:rFonts w:ascii="Times New Roman" w:hAnsi="Times New Roman" w:cs="Times New Roman"/>
          <w:color w:val="000000"/>
          <w:lang w:val="en-US" w:eastAsia="de-DE"/>
        </w:rPr>
        <w:t xml:space="preserve"> log</w:t>
      </w:r>
      <w:r w:rsidRPr="0020062E">
        <w:rPr>
          <w:rFonts w:ascii="Times New Roman" w:hAnsi="Times New Roman" w:cs="Times New Roman"/>
          <w:i/>
          <w:color w:val="000000"/>
          <w:lang w:val="en-US" w:eastAsia="de-DE"/>
        </w:rPr>
        <w:t xml:space="preserve"> k</w:t>
      </w:r>
      <w:r w:rsidRPr="0020062E">
        <w:rPr>
          <w:rFonts w:ascii="Times New Roman" w:hAnsi="Times New Roman" w:cs="Times New Roman"/>
          <w:color w:val="000000"/>
          <w:lang w:val="en-US" w:eastAsia="de-DE"/>
        </w:rPr>
        <w:t> = ±0.09 or ±20%.</w:t>
      </w:r>
    </w:p>
    <w:p w:rsidR="00DB2748" w:rsidRPr="00404CD3" w:rsidRDefault="00DB2748" w:rsidP="00404CD3">
      <w:pPr>
        <w:tabs>
          <w:tab w:val="left" w:pos="0"/>
          <w:tab w:val="left" w:pos="444"/>
          <w:tab w:val="left" w:pos="720"/>
        </w:tabs>
        <w:suppressAutoHyphens/>
        <w:spacing w:line="240" w:lineRule="atLeast"/>
        <w:rPr>
          <w:spacing w:val="-3"/>
          <w:sz w:val="22"/>
          <w:szCs w:val="22"/>
          <w:lang w:val="en-CA"/>
        </w:rPr>
      </w:pPr>
    </w:p>
    <w:p w:rsidR="00821651" w:rsidRPr="007C1BA6" w:rsidRDefault="00821651" w:rsidP="00821651">
      <w:pPr>
        <w:tabs>
          <w:tab w:val="left" w:pos="0"/>
          <w:tab w:val="left" w:pos="444"/>
          <w:tab w:val="left" w:pos="720"/>
        </w:tabs>
        <w:suppressAutoHyphens/>
        <w:spacing w:line="240" w:lineRule="atLeast"/>
        <w:jc w:val="center"/>
        <w:rPr>
          <w:spacing w:val="-3"/>
          <w:lang w:val="en-CA"/>
        </w:rPr>
      </w:pPr>
      <w:r w:rsidRPr="007C1BA6">
        <w:rPr>
          <w:b/>
          <w:spacing w:val="-3"/>
          <w:lang w:val="en-CA"/>
        </w:rPr>
        <w:t>References</w:t>
      </w:r>
    </w:p>
    <w:p w:rsidR="0027580C" w:rsidRDefault="0027580C" w:rsidP="007813B8">
      <w:pPr>
        <w:tabs>
          <w:tab w:val="left" w:pos="288"/>
          <w:tab w:val="left" w:pos="426"/>
          <w:tab w:val="left" w:pos="720"/>
        </w:tabs>
        <w:suppressAutoHyphens/>
        <w:ind w:left="420" w:hanging="420"/>
        <w:jc w:val="both"/>
        <w:rPr>
          <w:spacing w:val="-3"/>
          <w:lang w:val="en-US"/>
        </w:rPr>
      </w:pPr>
    </w:p>
    <w:p w:rsidR="0001701B" w:rsidRPr="0001701B" w:rsidRDefault="0001701B" w:rsidP="0001701B">
      <w:pPr>
        <w:jc w:val="both"/>
        <w:rPr>
          <w:color w:val="000000"/>
          <w:lang w:val="en-CA" w:eastAsia="en-CA"/>
        </w:rPr>
      </w:pPr>
      <w:r w:rsidRPr="0001701B">
        <w:rPr>
          <w:color w:val="000000"/>
          <w:lang w:val="en-CA" w:eastAsia="en-CA"/>
        </w:rPr>
        <w:t xml:space="preserve">Adams, G.E., </w:t>
      </w:r>
      <w:proofErr w:type="spellStart"/>
      <w:r w:rsidRPr="0001701B">
        <w:rPr>
          <w:color w:val="000000"/>
          <w:lang w:val="en-CA" w:eastAsia="en-CA"/>
        </w:rPr>
        <w:t>Boag</w:t>
      </w:r>
      <w:proofErr w:type="spellEnd"/>
      <w:r w:rsidRPr="0001701B">
        <w:rPr>
          <w:color w:val="000000"/>
          <w:lang w:val="en-CA" w:eastAsia="en-CA"/>
        </w:rPr>
        <w:t>, J.W., Currant, J. and Michael, B.D., Pulse Radiolysis, Ebert, M., Keene, J.P., Swallow, A.J. and Baxendale, J.H. (eds.): Academic Press, New York, 131-143, 1965.</w:t>
      </w:r>
    </w:p>
    <w:p w:rsidR="00433612" w:rsidRPr="00A91F89" w:rsidRDefault="00433612" w:rsidP="00A91F89">
      <w:pPr>
        <w:tabs>
          <w:tab w:val="left" w:pos="288"/>
          <w:tab w:val="left" w:pos="426"/>
          <w:tab w:val="left" w:pos="720"/>
        </w:tabs>
        <w:suppressAutoHyphens/>
        <w:ind w:left="420" w:hanging="420"/>
        <w:jc w:val="both"/>
        <w:rPr>
          <w:spacing w:val="-3"/>
          <w:lang w:val="en-US"/>
        </w:rPr>
      </w:pPr>
    </w:p>
    <w:p w:rsidR="0001701B" w:rsidRPr="0001701B" w:rsidRDefault="0001701B" w:rsidP="0001701B">
      <w:pPr>
        <w:jc w:val="both"/>
        <w:rPr>
          <w:color w:val="000000"/>
          <w:lang w:val="en-CA" w:eastAsia="en-CA"/>
        </w:rPr>
      </w:pPr>
      <w:r w:rsidRPr="0001701B">
        <w:rPr>
          <w:color w:val="000000"/>
          <w:lang w:val="en-CA" w:eastAsia="en-CA"/>
        </w:rPr>
        <w:t xml:space="preserve">Bell, R. P. and Evans, P. G.: Proc. R. Soc. </w:t>
      </w:r>
      <w:proofErr w:type="spellStart"/>
      <w:r w:rsidRPr="0001701B">
        <w:rPr>
          <w:color w:val="000000"/>
          <w:lang w:val="en-CA" w:eastAsia="en-CA"/>
        </w:rPr>
        <w:t>Lond</w:t>
      </w:r>
      <w:proofErr w:type="spellEnd"/>
      <w:r w:rsidRPr="0001701B">
        <w:rPr>
          <w:color w:val="000000"/>
          <w:lang w:val="en-CA" w:eastAsia="en-CA"/>
        </w:rPr>
        <w:t>., Ser. A, 291(1426), 297-323, 1966.</w:t>
      </w:r>
    </w:p>
    <w:p w:rsidR="0004202F" w:rsidRDefault="0004202F" w:rsidP="007813B8">
      <w:pPr>
        <w:tabs>
          <w:tab w:val="left" w:pos="288"/>
          <w:tab w:val="left" w:pos="426"/>
          <w:tab w:val="left" w:pos="720"/>
        </w:tabs>
        <w:suppressAutoHyphens/>
        <w:ind w:left="420" w:hanging="420"/>
        <w:jc w:val="both"/>
        <w:rPr>
          <w:spacing w:val="-3"/>
          <w:lang w:val="en-US"/>
        </w:rPr>
      </w:pPr>
    </w:p>
    <w:p w:rsidR="0027580C" w:rsidRDefault="0027580C" w:rsidP="0001701B">
      <w:pPr>
        <w:tabs>
          <w:tab w:val="left" w:pos="0"/>
          <w:tab w:val="left" w:pos="720"/>
        </w:tabs>
        <w:suppressAutoHyphens/>
        <w:jc w:val="both"/>
        <w:rPr>
          <w:spacing w:val="-3"/>
          <w:lang w:val="en-US"/>
        </w:rPr>
      </w:pPr>
      <w:r w:rsidRPr="00692339">
        <w:rPr>
          <w:spacing w:val="-3"/>
          <w:lang w:val="en-US"/>
        </w:rPr>
        <w:t>Buxton,</w:t>
      </w:r>
      <w:r w:rsidRPr="00C81008">
        <w:rPr>
          <w:spacing w:val="-3"/>
          <w:lang w:val="en-US"/>
        </w:rPr>
        <w:t xml:space="preserve"> G. V.</w:t>
      </w:r>
      <w:r w:rsidR="00152FD9">
        <w:rPr>
          <w:spacing w:val="-3"/>
          <w:lang w:val="en-US"/>
        </w:rPr>
        <w:t>,</w:t>
      </w:r>
      <w:r w:rsidRPr="00C81008">
        <w:rPr>
          <w:spacing w:val="-3"/>
          <w:lang w:val="en-US"/>
        </w:rPr>
        <w:t xml:space="preserve"> </w:t>
      </w:r>
      <w:proofErr w:type="spellStart"/>
      <w:r w:rsidRPr="00C81008">
        <w:rPr>
          <w:spacing w:val="-3"/>
          <w:lang w:val="en-US"/>
        </w:rPr>
        <w:t>Greenstock</w:t>
      </w:r>
      <w:proofErr w:type="spellEnd"/>
      <w:r w:rsidRPr="00C81008">
        <w:rPr>
          <w:spacing w:val="-3"/>
          <w:lang w:val="en-US"/>
        </w:rPr>
        <w:t>, C. L.</w:t>
      </w:r>
      <w:r w:rsidR="00152FD9">
        <w:rPr>
          <w:spacing w:val="-3"/>
          <w:lang w:val="en-US"/>
        </w:rPr>
        <w:t>,</w:t>
      </w:r>
      <w:r w:rsidRPr="00C81008">
        <w:rPr>
          <w:spacing w:val="-3"/>
          <w:lang w:val="en-US"/>
        </w:rPr>
        <w:t xml:space="preserve"> Helman, W. P.</w:t>
      </w:r>
      <w:r w:rsidR="008F4A94">
        <w:rPr>
          <w:spacing w:val="-3"/>
          <w:lang w:val="en-US"/>
        </w:rPr>
        <w:t xml:space="preserve"> and</w:t>
      </w:r>
      <w:r w:rsidRPr="00C81008">
        <w:rPr>
          <w:spacing w:val="-3"/>
          <w:lang w:val="en-US"/>
        </w:rPr>
        <w:t xml:space="preserve"> Ross, A. B.</w:t>
      </w:r>
      <w:r w:rsidR="00FD0802">
        <w:rPr>
          <w:spacing w:val="-3"/>
          <w:lang w:val="en-US"/>
        </w:rPr>
        <w:t>:</w:t>
      </w:r>
      <w:r w:rsidRPr="00C81008">
        <w:rPr>
          <w:spacing w:val="-3"/>
          <w:lang w:val="en-US"/>
        </w:rPr>
        <w:t xml:space="preserve"> J. Phys. Chem. Ref. Data, 12(2), 513</w:t>
      </w:r>
      <w:r>
        <w:rPr>
          <w:spacing w:val="-3"/>
          <w:lang w:val="en-US"/>
        </w:rPr>
        <w:t xml:space="preserve"> </w:t>
      </w:r>
      <w:r w:rsidR="00152FD9">
        <w:rPr>
          <w:spacing w:val="-3"/>
          <w:lang w:val="en-US"/>
        </w:rPr>
        <w:t>–</w:t>
      </w:r>
      <w:r>
        <w:rPr>
          <w:spacing w:val="-3"/>
          <w:lang w:val="en-US"/>
        </w:rPr>
        <w:t xml:space="preserve"> </w:t>
      </w:r>
      <w:r w:rsidRPr="00C81008">
        <w:rPr>
          <w:spacing w:val="-3"/>
          <w:lang w:val="en-US"/>
        </w:rPr>
        <w:t>886, 1988.</w:t>
      </w:r>
    </w:p>
    <w:p w:rsidR="00014066" w:rsidRDefault="00014066" w:rsidP="007813B8">
      <w:pPr>
        <w:tabs>
          <w:tab w:val="left" w:pos="288"/>
          <w:tab w:val="left" w:pos="426"/>
          <w:tab w:val="left" w:pos="720"/>
        </w:tabs>
        <w:suppressAutoHyphens/>
        <w:ind w:left="420" w:hanging="420"/>
        <w:jc w:val="both"/>
        <w:rPr>
          <w:spacing w:val="-3"/>
          <w:lang w:val="en-US"/>
        </w:rPr>
      </w:pPr>
    </w:p>
    <w:p w:rsidR="00720B54" w:rsidRDefault="00720B54" w:rsidP="007813B8">
      <w:pPr>
        <w:tabs>
          <w:tab w:val="left" w:pos="288"/>
          <w:tab w:val="left" w:pos="426"/>
          <w:tab w:val="left" w:pos="720"/>
        </w:tabs>
        <w:suppressAutoHyphens/>
        <w:ind w:left="420" w:hanging="420"/>
        <w:jc w:val="both"/>
        <w:rPr>
          <w:spacing w:val="-3"/>
          <w:lang w:val="en-US"/>
        </w:rPr>
      </w:pPr>
      <w:r w:rsidRPr="00720B54">
        <w:rPr>
          <w:spacing w:val="-3"/>
          <w:lang w:val="en-US"/>
        </w:rPr>
        <w:t xml:space="preserve">Chin, M. </w:t>
      </w:r>
      <w:r w:rsidR="008F4A94">
        <w:rPr>
          <w:spacing w:val="-3"/>
          <w:lang w:val="en-US"/>
        </w:rPr>
        <w:t>and</w:t>
      </w:r>
      <w:r w:rsidRPr="00720B54">
        <w:rPr>
          <w:spacing w:val="-3"/>
          <w:lang w:val="en-US"/>
        </w:rPr>
        <w:t xml:space="preserve"> Wine, P. H.: </w:t>
      </w:r>
      <w:proofErr w:type="spellStart"/>
      <w:r w:rsidRPr="00720B54">
        <w:rPr>
          <w:spacing w:val="-3"/>
          <w:lang w:val="en-US"/>
        </w:rPr>
        <w:t>Aquat</w:t>
      </w:r>
      <w:proofErr w:type="spellEnd"/>
      <w:r w:rsidR="00633EDF">
        <w:rPr>
          <w:spacing w:val="-3"/>
          <w:lang w:val="en-US"/>
        </w:rPr>
        <w:t xml:space="preserve">. </w:t>
      </w:r>
      <w:r w:rsidRPr="00720B54">
        <w:rPr>
          <w:spacing w:val="-3"/>
          <w:lang w:val="en-US"/>
        </w:rPr>
        <w:t>Surf</w:t>
      </w:r>
      <w:r w:rsidR="00633EDF">
        <w:rPr>
          <w:spacing w:val="-3"/>
          <w:lang w:val="en-US"/>
        </w:rPr>
        <w:t>.</w:t>
      </w:r>
      <w:r w:rsidRPr="00720B54">
        <w:rPr>
          <w:spacing w:val="-3"/>
          <w:lang w:val="en-US"/>
        </w:rPr>
        <w:t xml:space="preserve"> </w:t>
      </w:r>
      <w:proofErr w:type="spellStart"/>
      <w:r w:rsidRPr="00720B54">
        <w:rPr>
          <w:spacing w:val="-3"/>
          <w:lang w:val="en-US"/>
        </w:rPr>
        <w:t>Phot</w:t>
      </w:r>
      <w:r w:rsidR="00633EDF">
        <w:rPr>
          <w:spacing w:val="-3"/>
          <w:lang w:val="en-US"/>
        </w:rPr>
        <w:t>ochem</w:t>
      </w:r>
      <w:proofErr w:type="spellEnd"/>
      <w:r w:rsidR="00633EDF">
        <w:rPr>
          <w:spacing w:val="-3"/>
          <w:lang w:val="en-US"/>
        </w:rPr>
        <w:t>.</w:t>
      </w:r>
      <w:r w:rsidRPr="00720B54">
        <w:rPr>
          <w:spacing w:val="-3"/>
          <w:lang w:val="en-US"/>
        </w:rPr>
        <w:t>, 85-96, 1994.</w:t>
      </w:r>
    </w:p>
    <w:p w:rsidR="00720B54" w:rsidRDefault="00720B54" w:rsidP="007813B8">
      <w:pPr>
        <w:tabs>
          <w:tab w:val="left" w:pos="288"/>
          <w:tab w:val="left" w:pos="426"/>
          <w:tab w:val="left" w:pos="720"/>
        </w:tabs>
        <w:suppressAutoHyphens/>
        <w:ind w:left="420" w:hanging="420"/>
        <w:jc w:val="both"/>
        <w:rPr>
          <w:spacing w:val="-3"/>
          <w:lang w:val="en-US"/>
        </w:rPr>
      </w:pPr>
    </w:p>
    <w:p w:rsidR="00FD0802" w:rsidRDefault="00FD0802" w:rsidP="007813B8">
      <w:pPr>
        <w:tabs>
          <w:tab w:val="left" w:pos="288"/>
          <w:tab w:val="left" w:pos="426"/>
          <w:tab w:val="left" w:pos="720"/>
        </w:tabs>
        <w:suppressAutoHyphens/>
        <w:ind w:left="420" w:hanging="420"/>
        <w:jc w:val="both"/>
        <w:rPr>
          <w:spacing w:val="-3"/>
          <w:lang w:val="en-US"/>
        </w:rPr>
      </w:pPr>
      <w:r w:rsidRPr="00FD0802">
        <w:rPr>
          <w:spacing w:val="-3"/>
          <w:lang w:val="en-US"/>
        </w:rPr>
        <w:t xml:space="preserve">Doussin, J. F. </w:t>
      </w:r>
      <w:r w:rsidR="008F4A94">
        <w:rPr>
          <w:spacing w:val="-3"/>
          <w:lang w:val="en-US"/>
        </w:rPr>
        <w:t>and</w:t>
      </w:r>
      <w:r w:rsidRPr="00FD0802">
        <w:rPr>
          <w:spacing w:val="-3"/>
          <w:lang w:val="en-US"/>
        </w:rPr>
        <w:t xml:space="preserve"> Monod, A.: Atmos</w:t>
      </w:r>
      <w:r w:rsidR="008F4A94">
        <w:rPr>
          <w:spacing w:val="-3"/>
          <w:lang w:val="en-US"/>
        </w:rPr>
        <w:t>.</w:t>
      </w:r>
      <w:r w:rsidRPr="00FD0802">
        <w:rPr>
          <w:spacing w:val="-3"/>
          <w:lang w:val="en-US"/>
        </w:rPr>
        <w:t xml:space="preserve"> Chem</w:t>
      </w:r>
      <w:r w:rsidR="008F4A94">
        <w:rPr>
          <w:spacing w:val="-3"/>
          <w:lang w:val="en-US"/>
        </w:rPr>
        <w:t>.</w:t>
      </w:r>
      <w:r w:rsidRPr="00FD0802">
        <w:rPr>
          <w:spacing w:val="-3"/>
          <w:lang w:val="en-US"/>
        </w:rPr>
        <w:t xml:space="preserve"> Phys</w:t>
      </w:r>
      <w:r w:rsidR="008F4A94">
        <w:rPr>
          <w:spacing w:val="-3"/>
          <w:lang w:val="en-US"/>
        </w:rPr>
        <w:t>.</w:t>
      </w:r>
      <w:r w:rsidRPr="00FD0802">
        <w:rPr>
          <w:spacing w:val="-3"/>
          <w:lang w:val="en-US"/>
        </w:rPr>
        <w:t>, 13(23), 11625-11641, 2013.</w:t>
      </w:r>
    </w:p>
    <w:p w:rsidR="00720B54" w:rsidRDefault="00720B54" w:rsidP="007813B8">
      <w:pPr>
        <w:tabs>
          <w:tab w:val="left" w:pos="288"/>
          <w:tab w:val="left" w:pos="426"/>
          <w:tab w:val="left" w:pos="720"/>
        </w:tabs>
        <w:suppressAutoHyphens/>
        <w:ind w:left="420" w:hanging="420"/>
        <w:jc w:val="both"/>
        <w:rPr>
          <w:spacing w:val="-3"/>
          <w:lang w:val="en-US"/>
        </w:rPr>
      </w:pPr>
    </w:p>
    <w:p w:rsidR="00720B54" w:rsidRDefault="00720B54" w:rsidP="007813B8">
      <w:pPr>
        <w:tabs>
          <w:tab w:val="left" w:pos="288"/>
          <w:tab w:val="left" w:pos="426"/>
          <w:tab w:val="left" w:pos="720"/>
        </w:tabs>
        <w:suppressAutoHyphens/>
        <w:ind w:left="420" w:hanging="420"/>
        <w:jc w:val="both"/>
        <w:rPr>
          <w:spacing w:val="-3"/>
          <w:lang w:val="en-US"/>
        </w:rPr>
      </w:pPr>
      <w:r w:rsidRPr="00720B54">
        <w:rPr>
          <w:spacing w:val="-3"/>
          <w:lang w:val="en-US"/>
        </w:rPr>
        <w:t xml:space="preserve">Elliot, A. J. </w:t>
      </w:r>
      <w:r w:rsidR="008F4A94">
        <w:rPr>
          <w:spacing w:val="-3"/>
          <w:lang w:val="en-US"/>
        </w:rPr>
        <w:t xml:space="preserve">and </w:t>
      </w:r>
      <w:proofErr w:type="spellStart"/>
      <w:r w:rsidRPr="00720B54">
        <w:rPr>
          <w:spacing w:val="-3"/>
          <w:lang w:val="en-US"/>
        </w:rPr>
        <w:t>Simsons</w:t>
      </w:r>
      <w:proofErr w:type="spellEnd"/>
      <w:r w:rsidRPr="00720B54">
        <w:rPr>
          <w:spacing w:val="-3"/>
          <w:lang w:val="en-US"/>
        </w:rPr>
        <w:t xml:space="preserve">, A. S.: </w:t>
      </w:r>
      <w:proofErr w:type="spellStart"/>
      <w:r w:rsidRPr="00720B54">
        <w:rPr>
          <w:spacing w:val="-3"/>
          <w:lang w:val="en-US"/>
        </w:rPr>
        <w:t>Radiat</w:t>
      </w:r>
      <w:proofErr w:type="spellEnd"/>
      <w:r w:rsidR="008F4A94">
        <w:rPr>
          <w:spacing w:val="-3"/>
          <w:lang w:val="en-US"/>
        </w:rPr>
        <w:t>.</w:t>
      </w:r>
      <w:r w:rsidRPr="00720B54">
        <w:rPr>
          <w:spacing w:val="-3"/>
          <w:lang w:val="en-US"/>
        </w:rPr>
        <w:t xml:space="preserve"> Phys</w:t>
      </w:r>
      <w:r w:rsidR="008F4A94">
        <w:rPr>
          <w:spacing w:val="-3"/>
          <w:lang w:val="en-US"/>
        </w:rPr>
        <w:t>.</w:t>
      </w:r>
      <w:r w:rsidRPr="00720B54">
        <w:rPr>
          <w:spacing w:val="-3"/>
          <w:lang w:val="en-US"/>
        </w:rPr>
        <w:t xml:space="preserve"> Chem</w:t>
      </w:r>
      <w:r w:rsidR="008F4A94">
        <w:rPr>
          <w:spacing w:val="-3"/>
          <w:lang w:val="en-US"/>
        </w:rPr>
        <w:t>.</w:t>
      </w:r>
      <w:r w:rsidRPr="00720B54">
        <w:rPr>
          <w:spacing w:val="-3"/>
          <w:lang w:val="en-US"/>
        </w:rPr>
        <w:t xml:space="preserve"> (1977), 24(2), 229-231, 1984.</w:t>
      </w:r>
    </w:p>
    <w:p w:rsidR="00FD0802" w:rsidRDefault="00FD0802" w:rsidP="007813B8">
      <w:pPr>
        <w:tabs>
          <w:tab w:val="left" w:pos="288"/>
          <w:tab w:val="left" w:pos="426"/>
          <w:tab w:val="left" w:pos="720"/>
        </w:tabs>
        <w:suppressAutoHyphens/>
        <w:ind w:left="420" w:hanging="420"/>
        <w:jc w:val="both"/>
        <w:rPr>
          <w:spacing w:val="-3"/>
          <w:lang w:val="en-US"/>
        </w:rPr>
      </w:pPr>
    </w:p>
    <w:p w:rsidR="008D29F7" w:rsidRDefault="008D29F7" w:rsidP="007813B8">
      <w:pPr>
        <w:tabs>
          <w:tab w:val="left" w:pos="288"/>
          <w:tab w:val="left" w:pos="426"/>
          <w:tab w:val="left" w:pos="720"/>
        </w:tabs>
        <w:suppressAutoHyphens/>
        <w:ind w:left="420" w:hanging="420"/>
        <w:jc w:val="both"/>
        <w:rPr>
          <w:spacing w:val="-3"/>
          <w:lang w:val="en-US"/>
        </w:rPr>
      </w:pPr>
      <w:r w:rsidRPr="008D29F7">
        <w:rPr>
          <w:spacing w:val="-3"/>
          <w:lang w:val="en-US"/>
        </w:rPr>
        <w:t>Herrmann, H.: Chem</w:t>
      </w:r>
      <w:r w:rsidR="008F4A94">
        <w:rPr>
          <w:spacing w:val="-3"/>
          <w:lang w:val="en-US"/>
        </w:rPr>
        <w:t>.</w:t>
      </w:r>
      <w:r w:rsidRPr="008D29F7">
        <w:rPr>
          <w:spacing w:val="-3"/>
          <w:lang w:val="en-US"/>
        </w:rPr>
        <w:t xml:space="preserve"> </w:t>
      </w:r>
      <w:r w:rsidR="008F4A94" w:rsidRPr="008D29F7">
        <w:rPr>
          <w:spacing w:val="-3"/>
          <w:lang w:val="en-US"/>
        </w:rPr>
        <w:t>R</w:t>
      </w:r>
      <w:r w:rsidRPr="008D29F7">
        <w:rPr>
          <w:spacing w:val="-3"/>
          <w:lang w:val="en-US"/>
        </w:rPr>
        <w:t>ev</w:t>
      </w:r>
      <w:r w:rsidR="008F4A94">
        <w:rPr>
          <w:spacing w:val="-3"/>
          <w:lang w:val="en-US"/>
        </w:rPr>
        <w:t>.</w:t>
      </w:r>
      <w:r w:rsidRPr="008D29F7">
        <w:rPr>
          <w:spacing w:val="-3"/>
          <w:lang w:val="en-US"/>
        </w:rPr>
        <w:t>, 103(12), 4691-4716, 2003.</w:t>
      </w:r>
    </w:p>
    <w:p w:rsidR="008D29F7" w:rsidRDefault="008D29F7" w:rsidP="007813B8">
      <w:pPr>
        <w:tabs>
          <w:tab w:val="left" w:pos="288"/>
          <w:tab w:val="left" w:pos="426"/>
          <w:tab w:val="left" w:pos="720"/>
        </w:tabs>
        <w:suppressAutoHyphens/>
        <w:ind w:left="420" w:hanging="420"/>
        <w:jc w:val="both"/>
        <w:rPr>
          <w:spacing w:val="-3"/>
          <w:lang w:val="en-US"/>
        </w:rPr>
      </w:pPr>
    </w:p>
    <w:p w:rsidR="00FA5DCA" w:rsidRPr="00B8130E" w:rsidRDefault="00FA5DCA" w:rsidP="00FA5DCA">
      <w:pPr>
        <w:jc w:val="both"/>
        <w:rPr>
          <w:iCs/>
          <w:color w:val="000000"/>
        </w:rPr>
      </w:pPr>
      <w:r w:rsidRPr="00B8130E">
        <w:rPr>
          <w:iCs/>
          <w:color w:val="000000"/>
        </w:rPr>
        <w:t>Hesper, J.</w:t>
      </w:r>
      <w:r>
        <w:rPr>
          <w:iCs/>
          <w:color w:val="000000"/>
        </w:rPr>
        <w:t>:</w:t>
      </w:r>
      <w:r w:rsidRPr="00B8130E">
        <w:rPr>
          <w:iCs/>
          <w:color w:val="000000"/>
        </w:rPr>
        <w:t xml:space="preserve"> Ph.D. Dissertation, University of Leipzig, Leipzig, Germany, 2003.</w:t>
      </w:r>
    </w:p>
    <w:p w:rsidR="00FA5DCA" w:rsidRDefault="00FA5DCA" w:rsidP="007813B8">
      <w:pPr>
        <w:tabs>
          <w:tab w:val="left" w:pos="288"/>
          <w:tab w:val="left" w:pos="426"/>
          <w:tab w:val="left" w:pos="720"/>
        </w:tabs>
        <w:suppressAutoHyphens/>
        <w:ind w:left="420" w:hanging="420"/>
        <w:jc w:val="both"/>
        <w:rPr>
          <w:spacing w:val="-3"/>
          <w:lang w:val="en-US"/>
        </w:rPr>
      </w:pPr>
    </w:p>
    <w:p w:rsidR="000B4C27" w:rsidRDefault="007911A6" w:rsidP="0001701B">
      <w:pPr>
        <w:tabs>
          <w:tab w:val="left" w:pos="0"/>
          <w:tab w:val="left" w:pos="720"/>
        </w:tabs>
        <w:suppressAutoHyphens/>
        <w:jc w:val="both"/>
        <w:rPr>
          <w:spacing w:val="-3"/>
          <w:lang w:val="en-US"/>
        </w:rPr>
      </w:pPr>
      <w:r w:rsidRPr="007911A6">
        <w:rPr>
          <w:spacing w:val="-3"/>
          <w:lang w:val="en-US"/>
        </w:rPr>
        <w:t xml:space="preserve">Monod, A., Poulain, L., </w:t>
      </w:r>
      <w:proofErr w:type="spellStart"/>
      <w:r w:rsidRPr="007911A6">
        <w:rPr>
          <w:spacing w:val="-3"/>
          <w:lang w:val="en-US"/>
        </w:rPr>
        <w:t>Grubert</w:t>
      </w:r>
      <w:proofErr w:type="spellEnd"/>
      <w:r w:rsidRPr="007911A6">
        <w:rPr>
          <w:spacing w:val="-3"/>
          <w:lang w:val="en-US"/>
        </w:rPr>
        <w:t xml:space="preserve">, S., </w:t>
      </w:r>
      <w:proofErr w:type="spellStart"/>
      <w:r w:rsidRPr="007911A6">
        <w:rPr>
          <w:spacing w:val="-3"/>
          <w:lang w:val="en-US"/>
        </w:rPr>
        <w:t>Voisin</w:t>
      </w:r>
      <w:proofErr w:type="spellEnd"/>
      <w:r w:rsidRPr="007911A6">
        <w:rPr>
          <w:spacing w:val="-3"/>
          <w:lang w:val="en-US"/>
        </w:rPr>
        <w:t>, D. and Wortham, H.: Atmos. Env., 39(40), 7667-7688, 2005.</w:t>
      </w:r>
    </w:p>
    <w:p w:rsidR="007911A6" w:rsidRDefault="007911A6" w:rsidP="007813B8">
      <w:pPr>
        <w:tabs>
          <w:tab w:val="left" w:pos="288"/>
          <w:tab w:val="left" w:pos="426"/>
          <w:tab w:val="left" w:pos="720"/>
        </w:tabs>
        <w:suppressAutoHyphens/>
        <w:ind w:left="420" w:hanging="420"/>
        <w:jc w:val="both"/>
        <w:rPr>
          <w:spacing w:val="-3"/>
          <w:lang w:val="en-US"/>
        </w:rPr>
      </w:pPr>
    </w:p>
    <w:p w:rsidR="000B4C27" w:rsidRDefault="003A46A5" w:rsidP="007813B8">
      <w:pPr>
        <w:tabs>
          <w:tab w:val="left" w:pos="288"/>
          <w:tab w:val="left" w:pos="426"/>
          <w:tab w:val="left" w:pos="720"/>
        </w:tabs>
        <w:suppressAutoHyphens/>
        <w:ind w:left="420" w:hanging="420"/>
        <w:jc w:val="both"/>
        <w:rPr>
          <w:spacing w:val="-3"/>
          <w:lang w:val="en-US"/>
        </w:rPr>
      </w:pPr>
      <w:r>
        <w:rPr>
          <w:noProof/>
          <w:spacing w:val="-3"/>
          <w:lang w:val="en-US"/>
        </w:rPr>
        <w:drawing>
          <wp:inline distT="0" distB="0" distL="0" distR="0">
            <wp:extent cx="5762625" cy="4067175"/>
            <wp:effectExtent l="0" t="0" r="0" b="0"/>
            <wp:docPr id="1" name="Bild 1" descr="butan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anal+H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4067175"/>
                    </a:xfrm>
                    <a:prstGeom prst="rect">
                      <a:avLst/>
                    </a:prstGeom>
                    <a:noFill/>
                    <a:ln>
                      <a:noFill/>
                    </a:ln>
                  </pic:spPr>
                </pic:pic>
              </a:graphicData>
            </a:graphic>
          </wp:inline>
        </w:drawing>
      </w:r>
    </w:p>
    <w:p w:rsidR="000B4C27" w:rsidRPr="00B8130E" w:rsidRDefault="000B4C27" w:rsidP="000B4C27">
      <w:pPr>
        <w:widowControl w:val="0"/>
        <w:tabs>
          <w:tab w:val="left" w:pos="0"/>
          <w:tab w:val="left" w:pos="444"/>
          <w:tab w:val="left" w:pos="720"/>
        </w:tabs>
        <w:jc w:val="both"/>
        <w:rPr>
          <w:rFonts w:ascii="Times New Roman" w:eastAsia="Symbol" w:hAnsi="Times New Roman" w:cs="Times New Roman"/>
          <w:i/>
          <w:color w:val="000000"/>
          <w:lang w:eastAsia="de-DE"/>
        </w:rPr>
      </w:pPr>
      <w:r w:rsidRPr="00B8130E">
        <w:rPr>
          <w:rFonts w:ascii="Times New Roman" w:eastAsia="Symbol" w:hAnsi="Times New Roman" w:cs="Times New Roman"/>
          <w:color w:val="000000"/>
          <w:lang w:eastAsia="de-DE"/>
        </w:rPr>
        <w:t>T-dependent rate constants for the react</w:t>
      </w:r>
      <w:r w:rsidR="0001701B">
        <w:rPr>
          <w:rFonts w:ascii="Times New Roman" w:eastAsia="Symbol" w:hAnsi="Times New Roman" w:cs="Times New Roman"/>
          <w:color w:val="000000"/>
          <w:lang w:eastAsia="de-DE"/>
        </w:rPr>
        <w:t>ion of b</w:t>
      </w:r>
      <w:r w:rsidRPr="00B8130E">
        <w:rPr>
          <w:rFonts w:ascii="Times New Roman" w:eastAsia="Symbol" w:hAnsi="Times New Roman" w:cs="Times New Roman"/>
          <w:color w:val="000000"/>
          <w:lang w:eastAsia="de-DE"/>
        </w:rPr>
        <w:t>utan</w:t>
      </w:r>
      <w:r w:rsidR="0001701B">
        <w:rPr>
          <w:rFonts w:ascii="Times New Roman" w:eastAsia="Symbol" w:hAnsi="Times New Roman" w:cs="Times New Roman"/>
          <w:color w:val="000000"/>
          <w:lang w:eastAsia="de-DE"/>
        </w:rPr>
        <w:t>a</w:t>
      </w:r>
      <w:r w:rsidRPr="00B8130E">
        <w:rPr>
          <w:rFonts w:ascii="Times New Roman" w:eastAsia="Symbol" w:hAnsi="Times New Roman" w:cs="Times New Roman"/>
          <w:color w:val="000000"/>
          <w:lang w:eastAsia="de-DE"/>
        </w:rPr>
        <w:t xml:space="preserve">l with </w:t>
      </w:r>
      <w:r w:rsidR="00AE4F4B">
        <w:rPr>
          <w:rFonts w:ascii="Times New Roman" w:eastAsia="Symbol" w:hAnsi="Times New Roman" w:cs="Times New Roman"/>
          <w:color w:val="000000"/>
          <w:lang w:eastAsia="de-DE"/>
        </w:rPr>
        <w:t>HO</w:t>
      </w:r>
      <w:r w:rsidRPr="00B8130E">
        <w:rPr>
          <w:rFonts w:ascii="Times New Roman" w:eastAsia="Symbol" w:hAnsi="Times New Roman" w:cs="Times New Roman"/>
          <w:color w:val="000000"/>
          <w:lang w:eastAsia="de-DE"/>
        </w:rPr>
        <w:t xml:space="preserve"> in aqueous solution. Data from </w:t>
      </w:r>
      <w:r w:rsidR="00AE4F4B">
        <w:rPr>
          <w:rFonts w:ascii="Times New Roman" w:eastAsia="Symbol" w:hAnsi="Times New Roman" w:cs="Times New Roman"/>
          <w:color w:val="000000"/>
          <w:lang w:eastAsia="de-DE"/>
        </w:rPr>
        <w:t xml:space="preserve">Adams </w:t>
      </w:r>
      <w:r w:rsidR="00FD419D">
        <w:rPr>
          <w:rFonts w:ascii="Times New Roman" w:eastAsia="Symbol" w:hAnsi="Times New Roman" w:cs="Times New Roman"/>
          <w:color w:val="000000"/>
          <w:lang w:eastAsia="de-DE"/>
        </w:rPr>
        <w:t>et al. (</w:t>
      </w:r>
      <w:r w:rsidR="00AE4F4B">
        <w:rPr>
          <w:rFonts w:ascii="Times New Roman" w:eastAsia="Symbol" w:hAnsi="Times New Roman" w:cs="Times New Roman"/>
          <w:color w:val="000000"/>
          <w:lang w:eastAsia="de-DE"/>
        </w:rPr>
        <w:t xml:space="preserve">1965) and </w:t>
      </w:r>
      <w:r w:rsidRPr="00B8130E">
        <w:rPr>
          <w:rFonts w:ascii="Times New Roman" w:eastAsia="Symbol" w:hAnsi="Times New Roman" w:cs="Times New Roman"/>
          <w:color w:val="000000"/>
          <w:lang w:eastAsia="de-DE"/>
        </w:rPr>
        <w:t>Hesper (2003)</w:t>
      </w:r>
      <w:r w:rsidR="00C91980">
        <w:rPr>
          <w:rFonts w:ascii="Times New Roman" w:eastAsia="Symbol" w:hAnsi="Times New Roman" w:cs="Times New Roman"/>
          <w:color w:val="000000"/>
          <w:lang w:eastAsia="de-DE"/>
        </w:rPr>
        <w:t xml:space="preserve"> </w:t>
      </w:r>
      <w:r w:rsidR="00AE4F4B">
        <w:rPr>
          <w:rFonts w:ascii="Times New Roman" w:eastAsia="Symbol" w:hAnsi="Times New Roman" w:cs="Times New Roman"/>
          <w:color w:val="000000"/>
          <w:lang w:eastAsia="de-DE"/>
        </w:rPr>
        <w:t>have been used for regression</w:t>
      </w:r>
      <w:r w:rsidRPr="00B8130E">
        <w:rPr>
          <w:rFonts w:ascii="Times New Roman" w:eastAsia="Symbol" w:hAnsi="Times New Roman" w:cs="Times New Roman"/>
          <w:color w:val="000000"/>
          <w:lang w:eastAsia="de-DE"/>
        </w:rPr>
        <w:t>.</w:t>
      </w:r>
    </w:p>
    <w:p w:rsidR="000B4C27" w:rsidRDefault="000B4C27" w:rsidP="007813B8">
      <w:pPr>
        <w:tabs>
          <w:tab w:val="left" w:pos="288"/>
          <w:tab w:val="left" w:pos="426"/>
          <w:tab w:val="left" w:pos="720"/>
        </w:tabs>
        <w:suppressAutoHyphens/>
        <w:ind w:left="420" w:hanging="420"/>
        <w:jc w:val="both"/>
        <w:rPr>
          <w:spacing w:val="-3"/>
          <w:lang w:val="en-US"/>
        </w:rPr>
      </w:pPr>
    </w:p>
    <w:sectPr w:rsidR="000B4C27">
      <w:pgSz w:w="11907" w:h="16840" w:code="9"/>
      <w:pgMar w:top="964" w:right="1418" w:bottom="96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lowerLetter"/>
      <w:lvlText w:val="(%1)"/>
      <w:lvlJc w:val="left"/>
      <w:pPr>
        <w:tabs>
          <w:tab w:val="num" w:pos="0"/>
        </w:tabs>
        <w:ind w:left="360" w:hanging="360"/>
      </w:pPr>
      <w:rPr>
        <w:rFonts w:eastAsia="Symbol" w:cs="Symbol" w:hint="default"/>
        <w:spacing w:val="-2"/>
        <w:lang w:val="en-CA"/>
      </w:rPr>
    </w:lvl>
  </w:abstractNum>
  <w:abstractNum w:abstractNumId="1" w15:restartNumberingAfterBreak="0">
    <w:nsid w:val="1D810450"/>
    <w:multiLevelType w:val="singleLevel"/>
    <w:tmpl w:val="38F69570"/>
    <w:lvl w:ilvl="0">
      <w:start w:val="1"/>
      <w:numFmt w:val="lowerLetter"/>
      <w:lvlText w:val="(%1)"/>
      <w:lvlJc w:val="left"/>
      <w:pPr>
        <w:tabs>
          <w:tab w:val="num" w:pos="450"/>
        </w:tabs>
        <w:ind w:left="450" w:hanging="450"/>
      </w:pPr>
      <w:rPr>
        <w:rFonts w:hint="default"/>
      </w:rPr>
    </w:lvl>
  </w:abstractNum>
  <w:abstractNum w:abstractNumId="2" w15:restartNumberingAfterBreak="0">
    <w:nsid w:val="1E5D0349"/>
    <w:multiLevelType w:val="hybridMultilevel"/>
    <w:tmpl w:val="8EC47CD4"/>
    <w:lvl w:ilvl="0" w:tplc="00C293DA">
      <w:start w:val="1"/>
      <w:numFmt w:val="bullet"/>
      <w:lvlText w:val=""/>
      <w:lvlJc w:val="left"/>
      <w:pPr>
        <w:ind w:left="780" w:hanging="360"/>
      </w:pPr>
      <w:rPr>
        <w:rFonts w:ascii="Wingdings" w:eastAsia="Times New Roman" w:hAnsi="Wingdings" w:cs="Time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26D77BE"/>
    <w:multiLevelType w:val="hybridMultilevel"/>
    <w:tmpl w:val="DA2C769A"/>
    <w:lvl w:ilvl="0" w:tplc="E5F80E4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8F757B"/>
    <w:multiLevelType w:val="hybridMultilevel"/>
    <w:tmpl w:val="AED466DC"/>
    <w:lvl w:ilvl="0" w:tplc="3124AADE">
      <w:start w:val="13"/>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352D4D3C"/>
    <w:multiLevelType w:val="hybridMultilevel"/>
    <w:tmpl w:val="5AF4A246"/>
    <w:lvl w:ilvl="0" w:tplc="1C58B7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9060E0"/>
    <w:multiLevelType w:val="hybridMultilevel"/>
    <w:tmpl w:val="B9BE44A4"/>
    <w:lvl w:ilvl="0" w:tplc="A9ACC7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7736BFA"/>
    <w:multiLevelType w:val="hybridMultilevel"/>
    <w:tmpl w:val="7F84760E"/>
    <w:lvl w:ilvl="0" w:tplc="C3504C6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897CA2"/>
    <w:multiLevelType w:val="hybridMultilevel"/>
    <w:tmpl w:val="C1FC7A20"/>
    <w:lvl w:ilvl="0" w:tplc="0D303092">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9" w15:restartNumberingAfterBreak="0">
    <w:nsid w:val="6A9D5445"/>
    <w:multiLevelType w:val="hybridMultilevel"/>
    <w:tmpl w:val="982431BC"/>
    <w:lvl w:ilvl="0" w:tplc="C87A97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A46010"/>
    <w:multiLevelType w:val="hybridMultilevel"/>
    <w:tmpl w:val="BE241D18"/>
    <w:lvl w:ilvl="0" w:tplc="0120A3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0"/>
  </w:num>
  <w:num w:numId="6">
    <w:abstractNumId w:val="9"/>
  </w:num>
  <w:num w:numId="7">
    <w:abstractNumId w:val="6"/>
  </w:num>
  <w:num w:numId="8">
    <w:abstractNumId w:val="10"/>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F005A"/>
    <w:rsid w:val="00003186"/>
    <w:rsid w:val="000058F8"/>
    <w:rsid w:val="0000681C"/>
    <w:rsid w:val="000100DA"/>
    <w:rsid w:val="00014066"/>
    <w:rsid w:val="000142D0"/>
    <w:rsid w:val="0001701B"/>
    <w:rsid w:val="000226C3"/>
    <w:rsid w:val="00032D98"/>
    <w:rsid w:val="000354C1"/>
    <w:rsid w:val="00037BE6"/>
    <w:rsid w:val="00040EB8"/>
    <w:rsid w:val="0004202F"/>
    <w:rsid w:val="00053A77"/>
    <w:rsid w:val="00053BFF"/>
    <w:rsid w:val="000623D4"/>
    <w:rsid w:val="00063311"/>
    <w:rsid w:val="00064D18"/>
    <w:rsid w:val="000701E8"/>
    <w:rsid w:val="000702C3"/>
    <w:rsid w:val="00077A3A"/>
    <w:rsid w:val="00081DF2"/>
    <w:rsid w:val="000857CF"/>
    <w:rsid w:val="00090C16"/>
    <w:rsid w:val="000921DC"/>
    <w:rsid w:val="00097533"/>
    <w:rsid w:val="000977C2"/>
    <w:rsid w:val="000A162B"/>
    <w:rsid w:val="000A2FAF"/>
    <w:rsid w:val="000A50BC"/>
    <w:rsid w:val="000A71A1"/>
    <w:rsid w:val="000B4C27"/>
    <w:rsid w:val="000B6111"/>
    <w:rsid w:val="000C3CAA"/>
    <w:rsid w:val="000C7F9F"/>
    <w:rsid w:val="000D37DF"/>
    <w:rsid w:val="000D65CF"/>
    <w:rsid w:val="000D78B2"/>
    <w:rsid w:val="000E03DB"/>
    <w:rsid w:val="000E3FE8"/>
    <w:rsid w:val="00101645"/>
    <w:rsid w:val="00106A74"/>
    <w:rsid w:val="00112844"/>
    <w:rsid w:val="00120EED"/>
    <w:rsid w:val="00121AC9"/>
    <w:rsid w:val="001318D0"/>
    <w:rsid w:val="00133FEA"/>
    <w:rsid w:val="00144E1C"/>
    <w:rsid w:val="00145C54"/>
    <w:rsid w:val="00152FD9"/>
    <w:rsid w:val="00153BFD"/>
    <w:rsid w:val="001574B6"/>
    <w:rsid w:val="00157A3A"/>
    <w:rsid w:val="001632B4"/>
    <w:rsid w:val="001637C3"/>
    <w:rsid w:val="0018490C"/>
    <w:rsid w:val="00192FCA"/>
    <w:rsid w:val="00195B6D"/>
    <w:rsid w:val="00197003"/>
    <w:rsid w:val="001977C2"/>
    <w:rsid w:val="001A1912"/>
    <w:rsid w:val="001A4280"/>
    <w:rsid w:val="001B27BC"/>
    <w:rsid w:val="001D6CBA"/>
    <w:rsid w:val="001E1C70"/>
    <w:rsid w:val="001E4685"/>
    <w:rsid w:val="001F4EB5"/>
    <w:rsid w:val="0020061C"/>
    <w:rsid w:val="0020062E"/>
    <w:rsid w:val="002103C5"/>
    <w:rsid w:val="00213E99"/>
    <w:rsid w:val="00215F21"/>
    <w:rsid w:val="002162E9"/>
    <w:rsid w:val="00220181"/>
    <w:rsid w:val="00220DDF"/>
    <w:rsid w:val="00221A67"/>
    <w:rsid w:val="0022452F"/>
    <w:rsid w:val="00263497"/>
    <w:rsid w:val="00266D30"/>
    <w:rsid w:val="0027580C"/>
    <w:rsid w:val="002837BB"/>
    <w:rsid w:val="00284087"/>
    <w:rsid w:val="002862D6"/>
    <w:rsid w:val="002952DE"/>
    <w:rsid w:val="002979B8"/>
    <w:rsid w:val="002A1F8D"/>
    <w:rsid w:val="002A41EB"/>
    <w:rsid w:val="002A4717"/>
    <w:rsid w:val="002B10B1"/>
    <w:rsid w:val="002B127C"/>
    <w:rsid w:val="002B23A6"/>
    <w:rsid w:val="002B6012"/>
    <w:rsid w:val="002B69B0"/>
    <w:rsid w:val="002C5E16"/>
    <w:rsid w:val="002C7E9C"/>
    <w:rsid w:val="002D191B"/>
    <w:rsid w:val="0030119A"/>
    <w:rsid w:val="003016BE"/>
    <w:rsid w:val="00303330"/>
    <w:rsid w:val="00304CDC"/>
    <w:rsid w:val="003242C3"/>
    <w:rsid w:val="00325D6F"/>
    <w:rsid w:val="003263B4"/>
    <w:rsid w:val="00336897"/>
    <w:rsid w:val="003515B2"/>
    <w:rsid w:val="00352F06"/>
    <w:rsid w:val="003570CC"/>
    <w:rsid w:val="003610F8"/>
    <w:rsid w:val="0036323E"/>
    <w:rsid w:val="00390D27"/>
    <w:rsid w:val="003A2660"/>
    <w:rsid w:val="003A3A5A"/>
    <w:rsid w:val="003A46A5"/>
    <w:rsid w:val="003A5A2D"/>
    <w:rsid w:val="003A65BB"/>
    <w:rsid w:val="003A71F8"/>
    <w:rsid w:val="003B37E9"/>
    <w:rsid w:val="003B72AC"/>
    <w:rsid w:val="003D0949"/>
    <w:rsid w:val="003D1543"/>
    <w:rsid w:val="003F1CCB"/>
    <w:rsid w:val="003F37D0"/>
    <w:rsid w:val="00402E8B"/>
    <w:rsid w:val="00404CD3"/>
    <w:rsid w:val="00405E8B"/>
    <w:rsid w:val="00405F24"/>
    <w:rsid w:val="00410188"/>
    <w:rsid w:val="00410929"/>
    <w:rsid w:val="004117FE"/>
    <w:rsid w:val="004123DB"/>
    <w:rsid w:val="00420BAC"/>
    <w:rsid w:val="0042295A"/>
    <w:rsid w:val="00422D77"/>
    <w:rsid w:val="00433612"/>
    <w:rsid w:val="00443E37"/>
    <w:rsid w:val="004450AB"/>
    <w:rsid w:val="00447665"/>
    <w:rsid w:val="00450818"/>
    <w:rsid w:val="004513F5"/>
    <w:rsid w:val="00455EA0"/>
    <w:rsid w:val="00484C52"/>
    <w:rsid w:val="00486CBB"/>
    <w:rsid w:val="004A407F"/>
    <w:rsid w:val="004A579C"/>
    <w:rsid w:val="004A7BA6"/>
    <w:rsid w:val="004B3308"/>
    <w:rsid w:val="004C3213"/>
    <w:rsid w:val="004C4D3E"/>
    <w:rsid w:val="004C6446"/>
    <w:rsid w:val="004E7108"/>
    <w:rsid w:val="004F0504"/>
    <w:rsid w:val="004F7104"/>
    <w:rsid w:val="00500CE4"/>
    <w:rsid w:val="00501D48"/>
    <w:rsid w:val="00502F51"/>
    <w:rsid w:val="00505161"/>
    <w:rsid w:val="00505A10"/>
    <w:rsid w:val="00506140"/>
    <w:rsid w:val="00513019"/>
    <w:rsid w:val="00515086"/>
    <w:rsid w:val="00522F3B"/>
    <w:rsid w:val="0052608B"/>
    <w:rsid w:val="00541F5E"/>
    <w:rsid w:val="005424C6"/>
    <w:rsid w:val="00560013"/>
    <w:rsid w:val="00565A6E"/>
    <w:rsid w:val="00571A09"/>
    <w:rsid w:val="0057662D"/>
    <w:rsid w:val="005A043C"/>
    <w:rsid w:val="005A08E2"/>
    <w:rsid w:val="005A22EA"/>
    <w:rsid w:val="005A3363"/>
    <w:rsid w:val="005A3C28"/>
    <w:rsid w:val="005A7488"/>
    <w:rsid w:val="005B3754"/>
    <w:rsid w:val="005B54D1"/>
    <w:rsid w:val="005B6EB1"/>
    <w:rsid w:val="005C0F26"/>
    <w:rsid w:val="005C3B60"/>
    <w:rsid w:val="005C5E6F"/>
    <w:rsid w:val="005D4CF6"/>
    <w:rsid w:val="005D731B"/>
    <w:rsid w:val="005E518D"/>
    <w:rsid w:val="005F43DB"/>
    <w:rsid w:val="00601BCA"/>
    <w:rsid w:val="00604D2C"/>
    <w:rsid w:val="00613C73"/>
    <w:rsid w:val="00615583"/>
    <w:rsid w:val="00633EDF"/>
    <w:rsid w:val="00636A12"/>
    <w:rsid w:val="0063704E"/>
    <w:rsid w:val="00652F32"/>
    <w:rsid w:val="00654098"/>
    <w:rsid w:val="00663250"/>
    <w:rsid w:val="00670889"/>
    <w:rsid w:val="00675054"/>
    <w:rsid w:val="00692339"/>
    <w:rsid w:val="006A1A56"/>
    <w:rsid w:val="006A2320"/>
    <w:rsid w:val="006A6692"/>
    <w:rsid w:val="006B1C76"/>
    <w:rsid w:val="006B2DDA"/>
    <w:rsid w:val="006C3F47"/>
    <w:rsid w:val="006D2807"/>
    <w:rsid w:val="006D5DBD"/>
    <w:rsid w:val="006D6759"/>
    <w:rsid w:val="006E1881"/>
    <w:rsid w:val="00700A63"/>
    <w:rsid w:val="00701B76"/>
    <w:rsid w:val="00702C8F"/>
    <w:rsid w:val="00703732"/>
    <w:rsid w:val="007064B6"/>
    <w:rsid w:val="00710305"/>
    <w:rsid w:val="0071369E"/>
    <w:rsid w:val="00720B54"/>
    <w:rsid w:val="00721569"/>
    <w:rsid w:val="00721AC4"/>
    <w:rsid w:val="007440D3"/>
    <w:rsid w:val="007468AA"/>
    <w:rsid w:val="00751CEC"/>
    <w:rsid w:val="00762860"/>
    <w:rsid w:val="00776BA1"/>
    <w:rsid w:val="00777324"/>
    <w:rsid w:val="0077768F"/>
    <w:rsid w:val="007813B8"/>
    <w:rsid w:val="00784793"/>
    <w:rsid w:val="00790A52"/>
    <w:rsid w:val="007911A6"/>
    <w:rsid w:val="0079362F"/>
    <w:rsid w:val="00795528"/>
    <w:rsid w:val="007A2D7C"/>
    <w:rsid w:val="007A3298"/>
    <w:rsid w:val="007B0E88"/>
    <w:rsid w:val="007C0F73"/>
    <w:rsid w:val="007C1BA6"/>
    <w:rsid w:val="007C1E12"/>
    <w:rsid w:val="007C7DFA"/>
    <w:rsid w:val="007D0479"/>
    <w:rsid w:val="007E5705"/>
    <w:rsid w:val="007E57D2"/>
    <w:rsid w:val="007E7B8E"/>
    <w:rsid w:val="007F017D"/>
    <w:rsid w:val="007F2089"/>
    <w:rsid w:val="007F2DF3"/>
    <w:rsid w:val="007F4C67"/>
    <w:rsid w:val="008061CF"/>
    <w:rsid w:val="00816FDF"/>
    <w:rsid w:val="00821651"/>
    <w:rsid w:val="0082456F"/>
    <w:rsid w:val="008261BC"/>
    <w:rsid w:val="008344BF"/>
    <w:rsid w:val="0083653B"/>
    <w:rsid w:val="00842FAF"/>
    <w:rsid w:val="00853D83"/>
    <w:rsid w:val="008549FA"/>
    <w:rsid w:val="00855918"/>
    <w:rsid w:val="008559B0"/>
    <w:rsid w:val="00856689"/>
    <w:rsid w:val="00860B72"/>
    <w:rsid w:val="0086602C"/>
    <w:rsid w:val="008727AD"/>
    <w:rsid w:val="00875CB1"/>
    <w:rsid w:val="0088073C"/>
    <w:rsid w:val="00880F4E"/>
    <w:rsid w:val="00881D55"/>
    <w:rsid w:val="00884D99"/>
    <w:rsid w:val="00887539"/>
    <w:rsid w:val="00891F90"/>
    <w:rsid w:val="00893259"/>
    <w:rsid w:val="0089539E"/>
    <w:rsid w:val="008A320C"/>
    <w:rsid w:val="008A4EE3"/>
    <w:rsid w:val="008A733A"/>
    <w:rsid w:val="008C3846"/>
    <w:rsid w:val="008C389F"/>
    <w:rsid w:val="008C4819"/>
    <w:rsid w:val="008D16B0"/>
    <w:rsid w:val="008D271F"/>
    <w:rsid w:val="008D29F7"/>
    <w:rsid w:val="008D654B"/>
    <w:rsid w:val="008F0755"/>
    <w:rsid w:val="008F4A94"/>
    <w:rsid w:val="008F63FC"/>
    <w:rsid w:val="009019D2"/>
    <w:rsid w:val="009027B1"/>
    <w:rsid w:val="009044BD"/>
    <w:rsid w:val="00913834"/>
    <w:rsid w:val="00921793"/>
    <w:rsid w:val="00923C28"/>
    <w:rsid w:val="00931B9D"/>
    <w:rsid w:val="00934A6A"/>
    <w:rsid w:val="00942081"/>
    <w:rsid w:val="009475A7"/>
    <w:rsid w:val="00954AD9"/>
    <w:rsid w:val="00955D52"/>
    <w:rsid w:val="00962DA4"/>
    <w:rsid w:val="0097461A"/>
    <w:rsid w:val="0097499A"/>
    <w:rsid w:val="00976D47"/>
    <w:rsid w:val="00977BF1"/>
    <w:rsid w:val="0099441C"/>
    <w:rsid w:val="00994D88"/>
    <w:rsid w:val="009B21A3"/>
    <w:rsid w:val="009C37A2"/>
    <w:rsid w:val="009C4BE5"/>
    <w:rsid w:val="009C785D"/>
    <w:rsid w:val="009C7A1E"/>
    <w:rsid w:val="009D2B8F"/>
    <w:rsid w:val="009D3390"/>
    <w:rsid w:val="009E2EEE"/>
    <w:rsid w:val="009E5505"/>
    <w:rsid w:val="009F18E0"/>
    <w:rsid w:val="009F405B"/>
    <w:rsid w:val="00A005C1"/>
    <w:rsid w:val="00A11587"/>
    <w:rsid w:val="00A11E9E"/>
    <w:rsid w:val="00A12788"/>
    <w:rsid w:val="00A17123"/>
    <w:rsid w:val="00A23BD8"/>
    <w:rsid w:val="00A25342"/>
    <w:rsid w:val="00A27EE9"/>
    <w:rsid w:val="00A35C85"/>
    <w:rsid w:val="00A36C41"/>
    <w:rsid w:val="00A46A0B"/>
    <w:rsid w:val="00A47C2F"/>
    <w:rsid w:val="00A528B3"/>
    <w:rsid w:val="00A57E5E"/>
    <w:rsid w:val="00A708D9"/>
    <w:rsid w:val="00A74455"/>
    <w:rsid w:val="00A7500E"/>
    <w:rsid w:val="00A80284"/>
    <w:rsid w:val="00A840F2"/>
    <w:rsid w:val="00A86F99"/>
    <w:rsid w:val="00A90959"/>
    <w:rsid w:val="00A91F89"/>
    <w:rsid w:val="00AB3143"/>
    <w:rsid w:val="00AD0E6A"/>
    <w:rsid w:val="00AD4544"/>
    <w:rsid w:val="00AE4510"/>
    <w:rsid w:val="00AE4F4B"/>
    <w:rsid w:val="00AF2E74"/>
    <w:rsid w:val="00AF43D2"/>
    <w:rsid w:val="00AF52EF"/>
    <w:rsid w:val="00AF68AE"/>
    <w:rsid w:val="00B01FBD"/>
    <w:rsid w:val="00B12B55"/>
    <w:rsid w:val="00B20C78"/>
    <w:rsid w:val="00B228B1"/>
    <w:rsid w:val="00B3156D"/>
    <w:rsid w:val="00B33C65"/>
    <w:rsid w:val="00B35123"/>
    <w:rsid w:val="00B4594A"/>
    <w:rsid w:val="00B50395"/>
    <w:rsid w:val="00B52179"/>
    <w:rsid w:val="00B525A0"/>
    <w:rsid w:val="00B5366F"/>
    <w:rsid w:val="00B61525"/>
    <w:rsid w:val="00B73CCE"/>
    <w:rsid w:val="00B84B46"/>
    <w:rsid w:val="00B85353"/>
    <w:rsid w:val="00B95A51"/>
    <w:rsid w:val="00BA1397"/>
    <w:rsid w:val="00BA71C5"/>
    <w:rsid w:val="00BB3581"/>
    <w:rsid w:val="00BB7807"/>
    <w:rsid w:val="00BB7992"/>
    <w:rsid w:val="00BC167C"/>
    <w:rsid w:val="00BD22BD"/>
    <w:rsid w:val="00BD2606"/>
    <w:rsid w:val="00BD451A"/>
    <w:rsid w:val="00BE50FB"/>
    <w:rsid w:val="00BE54D5"/>
    <w:rsid w:val="00BF2B4D"/>
    <w:rsid w:val="00C00643"/>
    <w:rsid w:val="00C013BC"/>
    <w:rsid w:val="00C10304"/>
    <w:rsid w:val="00C11A68"/>
    <w:rsid w:val="00C17A31"/>
    <w:rsid w:val="00C22890"/>
    <w:rsid w:val="00C25093"/>
    <w:rsid w:val="00C568C5"/>
    <w:rsid w:val="00C57B22"/>
    <w:rsid w:val="00C60D61"/>
    <w:rsid w:val="00C648E1"/>
    <w:rsid w:val="00C67934"/>
    <w:rsid w:val="00C70E23"/>
    <w:rsid w:val="00C716CC"/>
    <w:rsid w:val="00C72D3C"/>
    <w:rsid w:val="00C75688"/>
    <w:rsid w:val="00C81E12"/>
    <w:rsid w:val="00C90E43"/>
    <w:rsid w:val="00C91980"/>
    <w:rsid w:val="00C94795"/>
    <w:rsid w:val="00C94ED5"/>
    <w:rsid w:val="00CA62AA"/>
    <w:rsid w:val="00CB0B81"/>
    <w:rsid w:val="00CD1F98"/>
    <w:rsid w:val="00CD27A8"/>
    <w:rsid w:val="00CE2122"/>
    <w:rsid w:val="00CE24B0"/>
    <w:rsid w:val="00D12D39"/>
    <w:rsid w:val="00D161BF"/>
    <w:rsid w:val="00D17C09"/>
    <w:rsid w:val="00D17F0E"/>
    <w:rsid w:val="00D2355F"/>
    <w:rsid w:val="00D249E0"/>
    <w:rsid w:val="00D25403"/>
    <w:rsid w:val="00D37139"/>
    <w:rsid w:val="00D37F05"/>
    <w:rsid w:val="00D455A8"/>
    <w:rsid w:val="00D4710E"/>
    <w:rsid w:val="00D54A80"/>
    <w:rsid w:val="00D557B7"/>
    <w:rsid w:val="00D57222"/>
    <w:rsid w:val="00D57669"/>
    <w:rsid w:val="00D73025"/>
    <w:rsid w:val="00D76D1B"/>
    <w:rsid w:val="00D77C1D"/>
    <w:rsid w:val="00D91F7F"/>
    <w:rsid w:val="00D93016"/>
    <w:rsid w:val="00DB2748"/>
    <w:rsid w:val="00DB53BB"/>
    <w:rsid w:val="00DB5F74"/>
    <w:rsid w:val="00DB6F16"/>
    <w:rsid w:val="00DD1D44"/>
    <w:rsid w:val="00DD5CB6"/>
    <w:rsid w:val="00DE09D1"/>
    <w:rsid w:val="00DE21B4"/>
    <w:rsid w:val="00DE439D"/>
    <w:rsid w:val="00DF64B2"/>
    <w:rsid w:val="00DF6645"/>
    <w:rsid w:val="00E00EDD"/>
    <w:rsid w:val="00E016CB"/>
    <w:rsid w:val="00E02483"/>
    <w:rsid w:val="00E16CA4"/>
    <w:rsid w:val="00E204AF"/>
    <w:rsid w:val="00E21EAB"/>
    <w:rsid w:val="00E40753"/>
    <w:rsid w:val="00E50B31"/>
    <w:rsid w:val="00E54FE8"/>
    <w:rsid w:val="00E55CFC"/>
    <w:rsid w:val="00E5686D"/>
    <w:rsid w:val="00E63EE2"/>
    <w:rsid w:val="00E75E9C"/>
    <w:rsid w:val="00E82DB1"/>
    <w:rsid w:val="00E913D0"/>
    <w:rsid w:val="00E938E4"/>
    <w:rsid w:val="00EA674C"/>
    <w:rsid w:val="00EC0F25"/>
    <w:rsid w:val="00EC593A"/>
    <w:rsid w:val="00EC61B0"/>
    <w:rsid w:val="00ED2B1A"/>
    <w:rsid w:val="00EE0A46"/>
    <w:rsid w:val="00EF005A"/>
    <w:rsid w:val="00EF080E"/>
    <w:rsid w:val="00EF196F"/>
    <w:rsid w:val="00F059A9"/>
    <w:rsid w:val="00F06A3D"/>
    <w:rsid w:val="00F06E5B"/>
    <w:rsid w:val="00F1021C"/>
    <w:rsid w:val="00F13C78"/>
    <w:rsid w:val="00F1682E"/>
    <w:rsid w:val="00F16B80"/>
    <w:rsid w:val="00F2273A"/>
    <w:rsid w:val="00F22DF5"/>
    <w:rsid w:val="00F249D1"/>
    <w:rsid w:val="00F264DD"/>
    <w:rsid w:val="00F35EF2"/>
    <w:rsid w:val="00F51B21"/>
    <w:rsid w:val="00F55117"/>
    <w:rsid w:val="00F62CD4"/>
    <w:rsid w:val="00F64725"/>
    <w:rsid w:val="00F726F5"/>
    <w:rsid w:val="00F74858"/>
    <w:rsid w:val="00F85293"/>
    <w:rsid w:val="00F90411"/>
    <w:rsid w:val="00FA0C8D"/>
    <w:rsid w:val="00FA1715"/>
    <w:rsid w:val="00FA41C3"/>
    <w:rsid w:val="00FA5201"/>
    <w:rsid w:val="00FA5651"/>
    <w:rsid w:val="00FA5DCA"/>
    <w:rsid w:val="00FB53C1"/>
    <w:rsid w:val="00FB64DA"/>
    <w:rsid w:val="00FC186E"/>
    <w:rsid w:val="00FC1E2A"/>
    <w:rsid w:val="00FC798E"/>
    <w:rsid w:val="00FD0802"/>
    <w:rsid w:val="00FD25E5"/>
    <w:rsid w:val="00FD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ACFED"/>
  <w15:chartTrackingRefBased/>
  <w15:docId w15:val="{F017B3FB-06DB-4461-B80B-60BEB5DF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921DC"/>
    <w:rPr>
      <w:rFonts w:ascii="Times" w:hAnsi="Times" w:cs="Times"/>
      <w:sz w:val="24"/>
      <w:szCs w:val="24"/>
      <w:lang w:val="en-AU"/>
    </w:rPr>
  </w:style>
  <w:style w:type="paragraph" w:styleId="berschrift1">
    <w:name w:val="heading 1"/>
    <w:basedOn w:val="Standard"/>
    <w:next w:val="Standard"/>
    <w:qFormat/>
    <w:pPr>
      <w:keepNext/>
      <w:spacing w:before="240" w:after="60" w:line="480" w:lineRule="auto"/>
      <w:outlineLvl w:val="0"/>
    </w:pPr>
    <w:rPr>
      <w:b/>
      <w:kern w:val="28"/>
    </w:rPr>
  </w:style>
  <w:style w:type="paragraph" w:styleId="berschrift2">
    <w:name w:val="heading 2"/>
    <w:basedOn w:val="Standard"/>
    <w:next w:val="Standard"/>
    <w:qFormat/>
    <w:rsid w:val="000921DC"/>
    <w:pPr>
      <w:spacing w:before="240" w:after="60" w:line="480" w:lineRule="auto"/>
      <w:outlineLvl w:val="1"/>
    </w:pPr>
    <w:rPr>
      <w:rFonts w:ascii="Times New Roman" w:hAnsi="Times New Roman" w:cs="Times New Roman"/>
      <w:b/>
      <w:i/>
      <w:szCs w:val="20"/>
      <w:lang w:val="en-GB"/>
    </w:rPr>
  </w:style>
  <w:style w:type="paragraph" w:styleId="berschrift3">
    <w:name w:val="heading 3"/>
    <w:basedOn w:val="Standard"/>
    <w:next w:val="Standard"/>
    <w:qFormat/>
    <w:rsid w:val="000921DC"/>
    <w:pPr>
      <w:keepNext/>
      <w:spacing w:before="240" w:after="60"/>
      <w:outlineLvl w:val="2"/>
    </w:pPr>
    <w:rPr>
      <w:rFonts w:ascii="Arial" w:hAnsi="Arial"/>
      <w:b/>
      <w:sz w:val="26"/>
      <w:szCs w:val="26"/>
    </w:rPr>
  </w:style>
  <w:style w:type="paragraph" w:styleId="berschrift4">
    <w:name w:val="heading 4"/>
    <w:basedOn w:val="Standard"/>
    <w:next w:val="Standard"/>
    <w:qFormat/>
    <w:rsid w:val="000921DC"/>
    <w:pPr>
      <w:keepNext/>
      <w:spacing w:before="120" w:line="264" w:lineRule="auto"/>
      <w:outlineLvl w:val="3"/>
    </w:pPr>
    <w:rPr>
      <w:rFonts w:ascii="Times New Roman" w:hAnsi="Times New Roman" w:cs="Times New Roman"/>
      <w:i/>
      <w:sz w:val="20"/>
      <w:szCs w:val="20"/>
      <w:lang w:val="en-GB"/>
    </w:rPr>
  </w:style>
  <w:style w:type="paragraph" w:styleId="berschrift5">
    <w:name w:val="heading 5"/>
    <w:basedOn w:val="Standard"/>
    <w:next w:val="Standard"/>
    <w:qFormat/>
    <w:pPr>
      <w:keepNext/>
      <w:tabs>
        <w:tab w:val="left" w:pos="-1440"/>
        <w:tab w:val="left" w:pos="-720"/>
        <w:tab w:val="left" w:pos="444"/>
      </w:tabs>
      <w:jc w:val="both"/>
      <w:outlineLvl w:val="4"/>
    </w:pPr>
    <w:rPr>
      <w:i/>
    </w:rPr>
  </w:style>
  <w:style w:type="character" w:default="1" w:styleId="Absatz-Standardschriftart">
    <w:name w:val="Default Paragraph Font"/>
    <w:semiHidden/>
    <w:rsid w:val="000921DC"/>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0921DC"/>
  </w:style>
  <w:style w:type="paragraph" w:customStyle="1" w:styleId="Justified">
    <w:name w:val="Justified"/>
    <w:basedOn w:val="Standard"/>
    <w:pPr>
      <w:spacing w:after="100" w:line="360" w:lineRule="auto"/>
      <w:jc w:val="both"/>
    </w:pPr>
    <w:rPr>
      <w:lang w:val="en-US"/>
    </w:rPr>
  </w:style>
  <w:style w:type="paragraph" w:customStyle="1" w:styleId="table">
    <w:name w:val="table"/>
    <w:basedOn w:val="Verzeichnis1"/>
    <w:semiHidden/>
    <w:rsid w:val="000921DC"/>
    <w:pPr>
      <w:tabs>
        <w:tab w:val="left" w:pos="480"/>
        <w:tab w:val="left" w:pos="567"/>
        <w:tab w:val="left" w:pos="7938"/>
      </w:tabs>
    </w:pPr>
    <w:rPr>
      <w:rFonts w:ascii="Times New Roman" w:hAnsi="Times New Roman" w:cs="Times New Roman"/>
      <w:caps/>
      <w:noProof/>
      <w:sz w:val="20"/>
      <w:szCs w:val="20"/>
      <w:lang w:val="en-GB"/>
    </w:rPr>
  </w:style>
  <w:style w:type="paragraph" w:styleId="Textkrper-Zeileneinzug">
    <w:name w:val="Body Text Indent"/>
    <w:basedOn w:val="Standard"/>
    <w:pPr>
      <w:tabs>
        <w:tab w:val="left" w:pos="-1440"/>
        <w:tab w:val="left" w:pos="-720"/>
        <w:tab w:val="left" w:pos="444"/>
      </w:tabs>
      <w:ind w:firstLine="444"/>
      <w:jc w:val="both"/>
    </w:pPr>
  </w:style>
  <w:style w:type="paragraph" w:styleId="Verzeichnis1">
    <w:name w:val="toc 1"/>
    <w:basedOn w:val="Standard"/>
    <w:next w:val="Standard"/>
    <w:autoRedefine/>
    <w:semiHidden/>
    <w:rsid w:val="000921DC"/>
  </w:style>
  <w:style w:type="paragraph" w:styleId="Verzeichnis8">
    <w:name w:val="toc 8"/>
    <w:basedOn w:val="Standard"/>
    <w:next w:val="Standard"/>
    <w:semiHidden/>
    <w:pPr>
      <w:tabs>
        <w:tab w:val="right" w:leader="dot" w:pos="8618"/>
      </w:tabs>
      <w:ind w:left="1985" w:right="850"/>
      <w:jc w:val="center"/>
    </w:pPr>
    <w:rPr>
      <w:sz w:val="20"/>
    </w:rPr>
  </w:style>
  <w:style w:type="paragraph" w:customStyle="1" w:styleId="NewCenturySchl">
    <w:name w:val="New Century Schl"/>
    <w:basedOn w:val="Standard"/>
    <w:semiHidden/>
    <w:rsid w:val="000921DC"/>
    <w:pPr>
      <w:ind w:right="6"/>
      <w:jc w:val="center"/>
    </w:pPr>
    <w:rPr>
      <w:sz w:val="20"/>
      <w:szCs w:val="20"/>
    </w:rPr>
  </w:style>
  <w:style w:type="paragraph" w:styleId="Sprechblasentext">
    <w:name w:val="Balloon Text"/>
    <w:basedOn w:val="Standard"/>
    <w:semiHidden/>
    <w:rsid w:val="00EF005A"/>
    <w:rPr>
      <w:rFonts w:ascii="Tahoma" w:hAnsi="Tahoma" w:cs="Tahoma"/>
      <w:sz w:val="16"/>
      <w:szCs w:val="16"/>
    </w:rPr>
  </w:style>
  <w:style w:type="paragraph" w:styleId="Textkrper2">
    <w:name w:val="Body Text 2"/>
    <w:basedOn w:val="Standard"/>
    <w:pPr>
      <w:spacing w:after="120" w:line="480" w:lineRule="auto"/>
    </w:pPr>
  </w:style>
  <w:style w:type="paragraph" w:customStyle="1" w:styleId="IUPACtopparagraph">
    <w:name w:val="IUPAC top paragraph"/>
    <w:basedOn w:val="Standard"/>
    <w:autoRedefine/>
    <w:rsid w:val="000921DC"/>
    <w:pPr>
      <w:pBdr>
        <w:bottom w:val="single" w:sz="4" w:space="1" w:color="auto"/>
      </w:pBdr>
      <w:ind w:right="-7"/>
      <w:jc w:val="both"/>
    </w:pPr>
    <w:rPr>
      <w:rFonts w:ascii="Times New Roman" w:hAnsi="Times New Roman"/>
    </w:rPr>
  </w:style>
  <w:style w:type="character" w:styleId="Hyperlink">
    <w:name w:val="Hyperlink"/>
    <w:semiHidden/>
    <w:rsid w:val="000921DC"/>
    <w:rPr>
      <w:color w:val="0000FF"/>
      <w:u w:val="single"/>
    </w:rPr>
  </w:style>
  <w:style w:type="paragraph" w:styleId="Fuzeile">
    <w:name w:val="footer"/>
    <w:basedOn w:val="Standard"/>
    <w:semiHidden/>
    <w:rsid w:val="000921DC"/>
    <w:pPr>
      <w:tabs>
        <w:tab w:val="center" w:pos="4819"/>
        <w:tab w:val="right" w:pos="9071"/>
      </w:tabs>
    </w:pPr>
  </w:style>
  <w:style w:type="paragraph" w:customStyle="1" w:styleId="Reactions">
    <w:name w:val="Reactions"/>
    <w:semiHidden/>
    <w:rsid w:val="000921DC"/>
    <w:pPr>
      <w:tabs>
        <w:tab w:val="left" w:pos="1296"/>
        <w:tab w:val="left" w:pos="4320"/>
        <w:tab w:val="right" w:pos="8641"/>
      </w:tabs>
      <w:spacing w:before="72" w:after="72" w:line="336" w:lineRule="exact"/>
    </w:pPr>
    <w:rPr>
      <w:rFonts w:ascii="Times" w:hAnsi="Times"/>
      <w:sz w:val="24"/>
      <w:lang w:val="en-GB"/>
    </w:rPr>
  </w:style>
  <w:style w:type="paragraph" w:customStyle="1" w:styleId="IUPACheadline">
    <w:name w:val="IUPAC head line"/>
    <w:next w:val="Standard"/>
    <w:autoRedefine/>
    <w:rsid w:val="000921DC"/>
    <w:pPr>
      <w:spacing w:after="60"/>
    </w:pPr>
    <w:rPr>
      <w:rFonts w:cs="Times"/>
      <w:b/>
      <w:sz w:val="24"/>
      <w:szCs w:val="26"/>
      <w:lang w:val="en-AU"/>
    </w:rPr>
  </w:style>
  <w:style w:type="paragraph" w:customStyle="1" w:styleId="IUPACTitlereaction">
    <w:name w:val="IUPAC Title reaction"/>
    <w:next w:val="Standard"/>
    <w:autoRedefine/>
    <w:rsid w:val="00F726F5"/>
    <w:pPr>
      <w:spacing w:before="240" w:after="480"/>
      <w:jc w:val="center"/>
    </w:pPr>
    <w:rPr>
      <w:rFonts w:cs="Times"/>
      <w:b/>
      <w:sz w:val="24"/>
      <w:szCs w:val="24"/>
      <w:lang w:val="en-AU"/>
    </w:rPr>
  </w:style>
  <w:style w:type="paragraph" w:customStyle="1" w:styleId="IUPACTitle">
    <w:name w:val="IUPAC Title"/>
    <w:next w:val="Standard"/>
    <w:autoRedefine/>
    <w:rsid w:val="000921DC"/>
    <w:pPr>
      <w:keepNext/>
      <w:spacing w:before="240" w:after="120"/>
      <w:jc w:val="center"/>
    </w:pPr>
    <w:rPr>
      <w:rFonts w:cs="Times"/>
      <w:b/>
      <w:sz w:val="24"/>
      <w:szCs w:val="24"/>
      <w:lang w:val="en-AU"/>
    </w:rPr>
  </w:style>
  <w:style w:type="paragraph" w:customStyle="1" w:styleId="IUPACcommenttext">
    <w:name w:val="IUPAC comment text"/>
    <w:autoRedefine/>
    <w:rsid w:val="000921DC"/>
    <w:pPr>
      <w:spacing w:after="120"/>
      <w:ind w:left="425" w:hanging="425"/>
      <w:jc w:val="both"/>
    </w:pPr>
    <w:rPr>
      <w:rFonts w:cs="Times"/>
      <w:sz w:val="24"/>
      <w:szCs w:val="24"/>
      <w:lang w:val="en-AU"/>
    </w:rPr>
  </w:style>
  <w:style w:type="paragraph" w:customStyle="1" w:styleId="IUPACsubtitle">
    <w:name w:val="IUPAC subtitle"/>
    <w:rsid w:val="000921DC"/>
    <w:pPr>
      <w:keepNext/>
      <w:tabs>
        <w:tab w:val="left" w:pos="-1440"/>
        <w:tab w:val="left" w:pos="-720"/>
        <w:tab w:val="left" w:pos="444"/>
      </w:tabs>
      <w:spacing w:before="240" w:after="120"/>
      <w:jc w:val="both"/>
    </w:pPr>
    <w:rPr>
      <w:rFonts w:ascii="Times" w:hAnsi="Times" w:cs="Times"/>
      <w:i/>
      <w:sz w:val="24"/>
      <w:szCs w:val="24"/>
      <w:lang w:val="en-GB"/>
    </w:rPr>
  </w:style>
  <w:style w:type="paragraph" w:customStyle="1" w:styleId="IUPACreference">
    <w:name w:val="IUPAC reference"/>
    <w:autoRedefine/>
    <w:rsid w:val="000921DC"/>
    <w:pPr>
      <w:keepLines/>
      <w:spacing w:after="60"/>
      <w:ind w:left="142" w:hanging="142"/>
      <w:jc w:val="both"/>
    </w:pPr>
    <w:rPr>
      <w:rFonts w:cs="Times"/>
      <w:sz w:val="24"/>
      <w:lang w:val="en-AU"/>
    </w:rPr>
  </w:style>
  <w:style w:type="paragraph" w:customStyle="1" w:styleId="IUPACexpcommenttext">
    <w:name w:val="IUPAC exp comment text"/>
    <w:autoRedefine/>
    <w:rsid w:val="000921DC"/>
    <w:pPr>
      <w:spacing w:after="120"/>
      <w:ind w:left="425" w:hanging="425"/>
      <w:jc w:val="both"/>
    </w:pPr>
    <w:rPr>
      <w:rFonts w:cs="Times"/>
      <w:sz w:val="24"/>
      <w:szCs w:val="24"/>
      <w:lang w:val="en-AU"/>
    </w:rPr>
  </w:style>
  <w:style w:type="paragraph" w:customStyle="1" w:styleId="IUPACpreferredcommentstext">
    <w:name w:val="IUPAC preferred comments text"/>
    <w:basedOn w:val="Standard"/>
    <w:autoRedefine/>
    <w:rsid w:val="000921DC"/>
    <w:pPr>
      <w:spacing w:after="120"/>
      <w:jc w:val="both"/>
    </w:pPr>
    <w:rPr>
      <w:rFonts w:ascii="Times New Roman" w:hAnsi="Times New Roman" w:cs="Times New Roman"/>
    </w:rPr>
  </w:style>
  <w:style w:type="character" w:styleId="BesuchterHyperlink">
    <w:name w:val="BesuchterHyperlink"/>
    <w:rsid w:val="00EF196F"/>
    <w:rPr>
      <w:color w:val="606420"/>
      <w:u w:val="single"/>
    </w:rPr>
  </w:style>
  <w:style w:type="table" w:styleId="Tabellenraster">
    <w:name w:val="Table Grid"/>
    <w:basedOn w:val="NormaleTabelle"/>
    <w:rsid w:val="003D1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220181"/>
  </w:style>
  <w:style w:type="character" w:styleId="Fett">
    <w:name w:val="Strong"/>
    <w:uiPriority w:val="22"/>
    <w:qFormat/>
    <w:rsid w:val="00220181"/>
    <w:rPr>
      <w:b/>
      <w:bCs/>
    </w:rPr>
  </w:style>
  <w:style w:type="paragraph" w:customStyle="1" w:styleId="headertext">
    <w:name w:val="header_text"/>
    <w:basedOn w:val="Standard"/>
    <w:rsid w:val="00220181"/>
    <w:pPr>
      <w:spacing w:before="100" w:beforeAutospacing="1" w:after="100" w:afterAutospacing="1"/>
    </w:pPr>
    <w:rPr>
      <w:rFonts w:ascii="Times New Roman" w:hAnsi="Times New Roman" w:cs="Times New Roman"/>
      <w:lang w:val="en-CA" w:eastAsia="en-CA"/>
    </w:rPr>
  </w:style>
  <w:style w:type="character" w:customStyle="1" w:styleId="bold">
    <w:name w:val="bold"/>
    <w:rsid w:val="00220181"/>
  </w:style>
  <w:style w:type="character" w:styleId="Kommentarzeichen">
    <w:name w:val="annotation reference"/>
    <w:rsid w:val="000B6111"/>
    <w:rPr>
      <w:sz w:val="16"/>
      <w:szCs w:val="16"/>
    </w:rPr>
  </w:style>
  <w:style w:type="paragraph" w:styleId="Kommentartext">
    <w:name w:val="annotation text"/>
    <w:basedOn w:val="Standard"/>
    <w:link w:val="KommentartextZchn"/>
    <w:rsid w:val="000B6111"/>
    <w:rPr>
      <w:sz w:val="20"/>
      <w:szCs w:val="20"/>
    </w:rPr>
  </w:style>
  <w:style w:type="character" w:customStyle="1" w:styleId="KommentartextZchn">
    <w:name w:val="Kommentartext Zchn"/>
    <w:link w:val="Kommentartext"/>
    <w:rsid w:val="000B6111"/>
    <w:rPr>
      <w:rFonts w:ascii="Times" w:hAnsi="Times" w:cs="Times"/>
      <w:lang w:val="en-AU" w:eastAsia="en-US"/>
    </w:rPr>
  </w:style>
  <w:style w:type="paragraph" w:styleId="Kommentarthema">
    <w:name w:val="annotation subject"/>
    <w:basedOn w:val="Kommentartext"/>
    <w:next w:val="Kommentartext"/>
    <w:link w:val="KommentarthemaZchn"/>
    <w:rsid w:val="000B6111"/>
    <w:rPr>
      <w:b/>
      <w:bCs/>
    </w:rPr>
  </w:style>
  <w:style w:type="character" w:customStyle="1" w:styleId="KommentarthemaZchn">
    <w:name w:val="Kommentarthema Zchn"/>
    <w:link w:val="Kommentarthema"/>
    <w:rsid w:val="000B6111"/>
    <w:rPr>
      <w:rFonts w:ascii="Times" w:hAnsi="Times" w:cs="Times"/>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6123">
      <w:bodyDiv w:val="1"/>
      <w:marLeft w:val="0"/>
      <w:marRight w:val="0"/>
      <w:marTop w:val="0"/>
      <w:marBottom w:val="0"/>
      <w:divBdr>
        <w:top w:val="none" w:sz="0" w:space="0" w:color="auto"/>
        <w:left w:val="none" w:sz="0" w:space="0" w:color="auto"/>
        <w:bottom w:val="none" w:sz="0" w:space="0" w:color="auto"/>
        <w:right w:val="none" w:sz="0" w:space="0" w:color="auto"/>
      </w:divBdr>
    </w:div>
    <w:div w:id="285504387">
      <w:bodyDiv w:val="1"/>
      <w:marLeft w:val="0"/>
      <w:marRight w:val="0"/>
      <w:marTop w:val="0"/>
      <w:marBottom w:val="0"/>
      <w:divBdr>
        <w:top w:val="none" w:sz="0" w:space="0" w:color="auto"/>
        <w:left w:val="none" w:sz="0" w:space="0" w:color="auto"/>
        <w:bottom w:val="none" w:sz="0" w:space="0" w:color="auto"/>
        <w:right w:val="none" w:sz="0" w:space="0" w:color="auto"/>
      </w:divBdr>
    </w:div>
    <w:div w:id="304160370">
      <w:bodyDiv w:val="1"/>
      <w:marLeft w:val="0"/>
      <w:marRight w:val="0"/>
      <w:marTop w:val="0"/>
      <w:marBottom w:val="0"/>
      <w:divBdr>
        <w:top w:val="none" w:sz="0" w:space="0" w:color="auto"/>
        <w:left w:val="none" w:sz="0" w:space="0" w:color="auto"/>
        <w:bottom w:val="none" w:sz="0" w:space="0" w:color="auto"/>
        <w:right w:val="none" w:sz="0" w:space="0" w:color="auto"/>
      </w:divBdr>
      <w:divsChild>
        <w:div w:id="1740861728">
          <w:marLeft w:val="0"/>
          <w:marRight w:val="0"/>
          <w:marTop w:val="0"/>
          <w:marBottom w:val="0"/>
          <w:divBdr>
            <w:top w:val="none" w:sz="0" w:space="0" w:color="auto"/>
            <w:left w:val="none" w:sz="0" w:space="0" w:color="auto"/>
            <w:bottom w:val="none" w:sz="0" w:space="0" w:color="auto"/>
            <w:right w:val="none" w:sz="0" w:space="0" w:color="auto"/>
          </w:divBdr>
        </w:div>
      </w:divsChild>
    </w:div>
    <w:div w:id="853613216">
      <w:bodyDiv w:val="1"/>
      <w:marLeft w:val="0"/>
      <w:marRight w:val="0"/>
      <w:marTop w:val="0"/>
      <w:marBottom w:val="0"/>
      <w:divBdr>
        <w:top w:val="none" w:sz="0" w:space="0" w:color="auto"/>
        <w:left w:val="none" w:sz="0" w:space="0" w:color="auto"/>
        <w:bottom w:val="none" w:sz="0" w:space="0" w:color="auto"/>
        <w:right w:val="none" w:sz="0" w:space="0" w:color="auto"/>
      </w:divBdr>
    </w:div>
    <w:div w:id="887257460">
      <w:bodyDiv w:val="1"/>
      <w:marLeft w:val="0"/>
      <w:marRight w:val="0"/>
      <w:marTop w:val="0"/>
      <w:marBottom w:val="0"/>
      <w:divBdr>
        <w:top w:val="none" w:sz="0" w:space="0" w:color="auto"/>
        <w:left w:val="none" w:sz="0" w:space="0" w:color="auto"/>
        <w:bottom w:val="none" w:sz="0" w:space="0" w:color="auto"/>
        <w:right w:val="none" w:sz="0" w:space="0" w:color="auto"/>
      </w:divBdr>
    </w:div>
    <w:div w:id="1305889879">
      <w:bodyDiv w:val="1"/>
      <w:marLeft w:val="0"/>
      <w:marRight w:val="0"/>
      <w:marTop w:val="0"/>
      <w:marBottom w:val="0"/>
      <w:divBdr>
        <w:top w:val="none" w:sz="0" w:space="0" w:color="auto"/>
        <w:left w:val="none" w:sz="0" w:space="0" w:color="auto"/>
        <w:bottom w:val="none" w:sz="0" w:space="0" w:color="auto"/>
        <w:right w:val="none" w:sz="0" w:space="0" w:color="auto"/>
      </w:divBdr>
    </w:div>
    <w:div w:id="1693875822">
      <w:bodyDiv w:val="1"/>
      <w:marLeft w:val="0"/>
      <w:marRight w:val="0"/>
      <w:marTop w:val="0"/>
      <w:marBottom w:val="0"/>
      <w:divBdr>
        <w:top w:val="none" w:sz="0" w:space="0" w:color="auto"/>
        <w:left w:val="none" w:sz="0" w:space="0" w:color="auto"/>
        <w:bottom w:val="none" w:sz="0" w:space="0" w:color="auto"/>
        <w:right w:val="none" w:sz="0" w:space="0" w:color="auto"/>
      </w:divBdr>
      <w:divsChild>
        <w:div w:id="1807047349">
          <w:marLeft w:val="0"/>
          <w:marRight w:val="0"/>
          <w:marTop w:val="0"/>
          <w:marBottom w:val="0"/>
          <w:divBdr>
            <w:top w:val="none" w:sz="0" w:space="0" w:color="auto"/>
            <w:left w:val="none" w:sz="0" w:space="0" w:color="auto"/>
            <w:bottom w:val="none" w:sz="0" w:space="0" w:color="auto"/>
            <w:right w:val="none" w:sz="0" w:space="0" w:color="auto"/>
          </w:divBdr>
        </w:div>
      </w:divsChild>
    </w:div>
    <w:div w:id="1877541830">
      <w:bodyDiv w:val="1"/>
      <w:marLeft w:val="0"/>
      <w:marRight w:val="0"/>
      <w:marTop w:val="0"/>
      <w:marBottom w:val="0"/>
      <w:divBdr>
        <w:top w:val="none" w:sz="0" w:space="0" w:color="auto"/>
        <w:left w:val="none" w:sz="0" w:space="0" w:color="auto"/>
        <w:bottom w:val="none" w:sz="0" w:space="0" w:color="auto"/>
        <w:right w:val="none" w:sz="0" w:space="0" w:color="auto"/>
      </w:divBdr>
    </w:div>
    <w:div w:id="1900898209">
      <w:bodyDiv w:val="1"/>
      <w:marLeft w:val="0"/>
      <w:marRight w:val="0"/>
      <w:marTop w:val="0"/>
      <w:marBottom w:val="0"/>
      <w:divBdr>
        <w:top w:val="none" w:sz="0" w:space="0" w:color="auto"/>
        <w:left w:val="none" w:sz="0" w:space="0" w:color="auto"/>
        <w:bottom w:val="none" w:sz="0" w:space="0" w:color="auto"/>
        <w:right w:val="none" w:sz="0" w:space="0" w:color="auto"/>
      </w:divBdr>
      <w:divsChild>
        <w:div w:id="581917235">
          <w:marLeft w:val="0"/>
          <w:marRight w:val="0"/>
          <w:marTop w:val="0"/>
          <w:marBottom w:val="0"/>
          <w:divBdr>
            <w:top w:val="none" w:sz="0" w:space="0" w:color="auto"/>
            <w:left w:val="none" w:sz="0" w:space="0" w:color="auto"/>
            <w:bottom w:val="none" w:sz="0" w:space="0" w:color="auto"/>
            <w:right w:val="none" w:sz="0" w:space="0" w:color="auto"/>
          </w:divBdr>
        </w:div>
      </w:divsChild>
    </w:div>
    <w:div w:id="1924874638">
      <w:bodyDiv w:val="1"/>
      <w:marLeft w:val="0"/>
      <w:marRight w:val="0"/>
      <w:marTop w:val="0"/>
      <w:marBottom w:val="0"/>
      <w:divBdr>
        <w:top w:val="none" w:sz="0" w:space="0" w:color="auto"/>
        <w:left w:val="none" w:sz="0" w:space="0" w:color="auto"/>
        <w:bottom w:val="none" w:sz="0" w:space="0" w:color="auto"/>
        <w:right w:val="none" w:sz="0" w:space="0" w:color="auto"/>
      </w:divBdr>
      <w:divsChild>
        <w:div w:id="438372349">
          <w:marLeft w:val="0"/>
          <w:marRight w:val="0"/>
          <w:marTop w:val="0"/>
          <w:marBottom w:val="0"/>
          <w:divBdr>
            <w:top w:val="none" w:sz="0" w:space="0" w:color="auto"/>
            <w:left w:val="none" w:sz="0" w:space="0" w:color="auto"/>
            <w:bottom w:val="none" w:sz="0" w:space="0" w:color="auto"/>
            <w:right w:val="none" w:sz="0" w:space="0" w:color="auto"/>
          </w:divBdr>
        </w:div>
      </w:divsChild>
    </w:div>
    <w:div w:id="1935823467">
      <w:bodyDiv w:val="1"/>
      <w:marLeft w:val="0"/>
      <w:marRight w:val="0"/>
      <w:marTop w:val="0"/>
      <w:marBottom w:val="0"/>
      <w:divBdr>
        <w:top w:val="none" w:sz="0" w:space="0" w:color="auto"/>
        <w:left w:val="none" w:sz="0" w:space="0" w:color="auto"/>
        <w:bottom w:val="none" w:sz="0" w:space="0" w:color="auto"/>
        <w:right w:val="none" w:sz="0" w:space="0" w:color="auto"/>
      </w:divBdr>
      <w:divsChild>
        <w:div w:id="155558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upac.pole-ether.f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XP\IUPAC%20liquid%20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IUPAC liquid template.dot</Template>
  <TotalTime>0</TotalTime>
  <Pages>3</Pages>
  <Words>646</Words>
  <Characters>3685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HONO  + mineral oxide (dust) surfaces</vt:lpstr>
      <vt:lpstr>HONO  + mineral oxide (dust) surfaces</vt:lpstr>
    </vt:vector>
  </TitlesOfParts>
  <Company>Paul Scherrer Institut</Company>
  <LinksUpToDate>false</LinksUpToDate>
  <CharactersWithSpaces>4323</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  + mineral oxide (dust) surfaces</dc:title>
  <dc:subject/>
  <dc:creator>Markus Ammann</dc:creator>
  <cp:keywords/>
  <cp:lastModifiedBy>Daniel Kessler</cp:lastModifiedBy>
  <cp:revision>3</cp:revision>
  <cp:lastPrinted>2017-05-05T15:07:00Z</cp:lastPrinted>
  <dcterms:created xsi:type="dcterms:W3CDTF">2020-01-15T13:44:00Z</dcterms:created>
  <dcterms:modified xsi:type="dcterms:W3CDTF">2020-01-15T13:56:00Z</dcterms:modified>
</cp:coreProperties>
</file>