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2143DF">
        <w:t>AQ_OH_50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7F4C67" w:rsidRPr="007F4C67">
        <w:t xml:space="preserve">The citation for this datasheet is: IUPAC Task Group on Atmospheric Chemical Kinetic Data Evaluation, </w:t>
      </w:r>
      <w:hyperlink r:id="rId5" w:history="1">
        <w:r w:rsidR="007F4C67" w:rsidRPr="007F4C67">
          <w:rPr>
            <w:rStyle w:val="Hyperlink"/>
          </w:rPr>
          <w:t>http://iupac.pole-ethe</w:t>
        </w:r>
        <w:r w:rsidR="007F4C67" w:rsidRPr="007F4C67">
          <w:rPr>
            <w:rStyle w:val="Hyperlink"/>
          </w:rPr>
          <w:t>r</w:t>
        </w:r>
        <w:r w:rsidR="007F4C67" w:rsidRPr="007F4C67">
          <w:rPr>
            <w:rStyle w:val="Hyperlink"/>
          </w:rPr>
          <w:t>.fr</w:t>
        </w:r>
      </w:hyperlink>
      <w:r w:rsidR="007F4C67" w:rsidRPr="007F4C67">
        <w:t>.</w:t>
      </w:r>
    </w:p>
    <w:p w:rsidR="002143DF" w:rsidRPr="007F4C67" w:rsidRDefault="002143DF" w:rsidP="002143DF">
      <w:pPr>
        <w:pStyle w:val="IUPACtopparagraph"/>
      </w:pPr>
      <w:r w:rsidRPr="007F4C67">
        <w:t xml:space="preserve">This datasheet last evaluated: </w:t>
      </w:r>
      <w:r w:rsidR="00467E51">
        <w:t>November</w:t>
      </w:r>
      <w:r w:rsidR="00B0355B">
        <w:t xml:space="preserve"> 2019</w:t>
      </w:r>
      <w:r w:rsidRPr="007F4C67">
        <w:t xml:space="preserve">; last change in preferred values: </w:t>
      </w:r>
      <w:r w:rsidR="00B0355B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F726F5" w:rsidRPr="00AD4E09" w:rsidRDefault="00346850" w:rsidP="00455EA0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 xml:space="preserve">HO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AD4E09">
        <w:rPr>
          <w:b/>
          <w:lang w:val="pt-BR"/>
        </w:rPr>
        <w:t>HOC</w:t>
      </w:r>
      <w:r w:rsidR="00221CE9">
        <w:rPr>
          <w:b/>
          <w:lang w:val="pt-BR"/>
        </w:rPr>
        <w:t>(CH</w:t>
      </w:r>
      <w:r w:rsidR="00221CE9" w:rsidRPr="00221CE9">
        <w:rPr>
          <w:b/>
          <w:vertAlign w:val="subscript"/>
          <w:lang w:val="pt-BR"/>
        </w:rPr>
        <w:t>3</w:t>
      </w:r>
      <w:r w:rsidR="00221CE9" w:rsidRPr="00221CE9">
        <w:rPr>
          <w:b/>
          <w:lang w:val="pt-BR"/>
        </w:rPr>
        <w:t>)</w:t>
      </w:r>
      <w:r w:rsidR="00221CE9">
        <w:rPr>
          <w:b/>
          <w:vertAlign w:val="subscript"/>
          <w:lang w:val="pt-BR"/>
        </w:rPr>
        <w:t>2</w:t>
      </w:r>
      <w:r w:rsidR="00221CE9">
        <w:rPr>
          <w:b/>
          <w:lang w:val="pt-BR"/>
        </w:rPr>
        <w:t>C(CH</w:t>
      </w:r>
      <w:r w:rsidR="00221CE9" w:rsidRPr="00221CE9">
        <w:rPr>
          <w:b/>
          <w:vertAlign w:val="subscript"/>
          <w:lang w:val="pt-BR"/>
        </w:rPr>
        <w:t>3</w:t>
      </w:r>
      <w:r w:rsidR="00221CE9" w:rsidRPr="00221CE9">
        <w:rPr>
          <w:b/>
          <w:lang w:val="pt-BR"/>
        </w:rPr>
        <w:t>)</w:t>
      </w:r>
      <w:r w:rsidR="00221CE9">
        <w:rPr>
          <w:b/>
          <w:vertAlign w:val="subscript"/>
          <w:lang w:val="pt-BR"/>
        </w:rPr>
        <w:t>2</w:t>
      </w:r>
      <w:r w:rsidR="00AD4E09">
        <w:rPr>
          <w:b/>
          <w:lang w:val="pt-BR"/>
        </w:rPr>
        <w:t>OH</w:t>
      </w:r>
      <w:r w:rsidR="00221CE9" w:rsidRPr="00455EA0">
        <w:rPr>
          <w:b/>
          <w:lang w:val="pt-BR"/>
        </w:rPr>
        <w:t xml:space="preserve"> 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AD4E09">
        <w:rPr>
          <w:b/>
          <w:lang w:val="pt-BR"/>
        </w:rPr>
        <w:t>products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B0355B" w:rsidTr="00B0355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B0355B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0355B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B0355B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B0355B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B0355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B0355B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B0355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0355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0355B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B0355B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0355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B0355B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0355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B0355B">
              <w:rPr>
                <w:spacing w:val="-3"/>
                <w:lang w:val="en-US"/>
              </w:rPr>
              <w:t>I</w:t>
            </w:r>
            <w:r w:rsidRPr="00B0355B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B0355B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B0355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B0355B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B0355B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B0355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0355B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  <w:bookmarkStart w:id="0" w:name="_GoBack"/>
        <w:bookmarkEnd w:id="0"/>
      </w:tr>
      <w:tr w:rsidR="0051184C" w:rsidTr="0072051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84C" w:rsidRDefault="00B0355B" w:rsidP="0072051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5.5</w:t>
            </w:r>
            <w:r w:rsidR="007D75E8" w:rsidRPr="00AB48BD">
              <w:rPr>
                <w:rFonts w:eastAsia="Symbol" w:cs="Symbol"/>
                <w:lang w:val="en-GB"/>
              </w:rPr>
              <w:t> </w:t>
            </w:r>
            <w:r w:rsidR="007D75E8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7D75E8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51184C">
              <w:rPr>
                <w:spacing w:val="-2"/>
                <w:lang w:val="en-US"/>
              </w:rPr>
              <w:t>10</w:t>
            </w:r>
            <w:r w:rsidR="0051184C"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84C" w:rsidRDefault="00B0355B" w:rsidP="0072051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84C" w:rsidRDefault="0051184C" w:rsidP="0072051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84C" w:rsidRDefault="00346850" w:rsidP="0072051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84C" w:rsidRDefault="0051184C" w:rsidP="0072051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Anbar et al., 1966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184C" w:rsidRPr="00197003" w:rsidRDefault="002143DF" w:rsidP="0072051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51184C">
              <w:t xml:space="preserve"> </w:t>
            </w:r>
            <w:r w:rsidR="0051184C" w:rsidRPr="00170263">
              <w:t>/</w:t>
            </w:r>
            <w:r w:rsidR="0051184C">
              <w:t xml:space="preserve"> </w:t>
            </w:r>
            <w:r w:rsidR="0051184C" w:rsidRPr="00170263">
              <w:t>UV-Vis</w:t>
            </w:r>
            <w:r w:rsidR="0051184C">
              <w:rPr>
                <w:spacing w:val="-2"/>
                <w:lang w:val="en-US"/>
              </w:rPr>
              <w:t xml:space="preserve"> (a)</w:t>
            </w:r>
          </w:p>
        </w:tc>
      </w:tr>
    </w:tbl>
    <w:p w:rsidR="00346850" w:rsidRDefault="00346850" w:rsidP="00346850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346850" w:rsidRDefault="00346850" w:rsidP="00346850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310BC1" w:rsidRPr="00893259" w:rsidRDefault="00310BC1" w:rsidP="00310BC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FC186E" w:rsidRPr="00221CE9" w:rsidRDefault="00310BC1" w:rsidP="00B0355B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cs="Times New Roman"/>
          <w:lang w:val="pt-BR"/>
        </w:rPr>
      </w:pPr>
      <w:r w:rsidRPr="00875CB1">
        <w:rPr>
          <w:lang w:val="en-CA"/>
        </w:rPr>
        <w:t>(</w:t>
      </w:r>
      <w:r>
        <w:rPr>
          <w:lang w:val="en-CA"/>
        </w:rPr>
        <w:t>a</w:t>
      </w:r>
      <w:r w:rsidRPr="00875CB1">
        <w:rPr>
          <w:lang w:val="en-CA"/>
        </w:rPr>
        <w:t>)</w:t>
      </w:r>
      <w:r w:rsidRPr="00875CB1">
        <w:rPr>
          <w:lang w:val="en-CA"/>
        </w:rPr>
        <w:tab/>
      </w:r>
      <w:r w:rsidR="00346850" w:rsidRPr="0030607B">
        <w:rPr>
          <w:spacing w:val="-2"/>
          <w:lang w:val="en-CA"/>
        </w:rPr>
        <w:t xml:space="preserve">Reference reaction: </w:t>
      </w:r>
      <w:hyperlink r:id="rId6" w:tgtFrame="_blank" w:history="1">
        <w:r w:rsidR="00346850">
          <w:rPr>
            <w:rStyle w:val="Hyperlink"/>
            <w:color w:val="auto"/>
            <w:u w:val="none"/>
            <w:lang w:val="en-CA"/>
          </w:rPr>
          <w:t>HO</w:t>
        </w:r>
      </w:hyperlink>
      <w:r w:rsidR="00346850" w:rsidRPr="0030607B">
        <w:rPr>
          <w:lang w:val="en-CA"/>
        </w:rPr>
        <w:t xml:space="preserve"> + PNDA </w:t>
      </w:r>
      <w:r w:rsidR="00346850" w:rsidRPr="0030607B">
        <w:rPr>
          <w:spacing w:val="-2"/>
          <w:lang w:val="en-CA"/>
        </w:rPr>
        <w:t>(p-</w:t>
      </w:r>
      <w:proofErr w:type="spellStart"/>
      <w:r w:rsidR="00346850" w:rsidRPr="0030607B">
        <w:rPr>
          <w:spacing w:val="-2"/>
          <w:lang w:val="en-CA"/>
        </w:rPr>
        <w:t>nitrosodimethylaniline</w:t>
      </w:r>
      <w:proofErr w:type="spellEnd"/>
      <w:r w:rsidR="00346850" w:rsidRPr="0030607B">
        <w:rPr>
          <w:spacing w:val="-2"/>
          <w:lang w:val="en-CA"/>
        </w:rPr>
        <w:t>)</w:t>
      </w:r>
      <w:r w:rsidR="00346850" w:rsidRPr="0030607B">
        <w:rPr>
          <w:lang w:val="en-CA"/>
        </w:rPr>
        <w:t>;</w:t>
      </w:r>
      <w:r w:rsidR="00346850">
        <w:rPr>
          <w:lang w:val="en-CA"/>
        </w:rPr>
        <w:t xml:space="preserve"> </w:t>
      </w:r>
      <w:r w:rsidR="00F13B81">
        <w:rPr>
          <w:lang w:val="en-CA"/>
        </w:rPr>
        <w:t xml:space="preserve">the </w:t>
      </w:r>
      <w:r w:rsidR="00346850">
        <w:rPr>
          <w:lang w:val="en-CA"/>
        </w:rPr>
        <w:t xml:space="preserve">reference rate constant was determined versus ethanol with </w:t>
      </w:r>
      <w:r w:rsidR="00346850">
        <w:rPr>
          <w:i/>
          <w:lang w:val="en-CA"/>
        </w:rPr>
        <w:t>k</w:t>
      </w:r>
      <w:r w:rsidR="00346850">
        <w:rPr>
          <w:lang w:val="en-CA"/>
        </w:rPr>
        <w:t>(HO + ethanol) = 1.10 × 10</w:t>
      </w:r>
      <w:r w:rsidR="00346850">
        <w:rPr>
          <w:vertAlign w:val="superscript"/>
          <w:lang w:val="en-CA"/>
        </w:rPr>
        <w:t>9</w:t>
      </w:r>
      <w:r w:rsidR="00346850">
        <w:rPr>
          <w:lang w:val="en-CA"/>
        </w:rPr>
        <w:t> M</w:t>
      </w:r>
      <w:r w:rsidR="00346850">
        <w:rPr>
          <w:vertAlign w:val="superscript"/>
          <w:lang w:val="en-CA"/>
        </w:rPr>
        <w:noBreakHyphen/>
        <w:t>1</w:t>
      </w:r>
      <w:r w:rsidR="00346850">
        <w:rPr>
          <w:lang w:val="en-CA"/>
        </w:rPr>
        <w:t>s</w:t>
      </w:r>
      <w:r w:rsidR="00346850">
        <w:rPr>
          <w:vertAlign w:val="superscript"/>
          <w:lang w:val="en-CA"/>
        </w:rPr>
        <w:noBreakHyphen/>
        <w:t>1</w:t>
      </w:r>
      <w:r w:rsidR="00346850">
        <w:rPr>
          <w:lang w:val="en-CA"/>
        </w:rPr>
        <w:t>;</w:t>
      </w:r>
      <w:r w:rsidR="00B0355B">
        <w:rPr>
          <w:lang w:val="en-CA"/>
        </w:rPr>
        <w:t xml:space="preserve"> </w:t>
      </w:r>
      <w:r w:rsidR="00F13B81">
        <w:rPr>
          <w:lang w:val="en-CA"/>
        </w:rPr>
        <w:t xml:space="preserve">the </w:t>
      </w:r>
      <w:r w:rsidR="00B0355B">
        <w:rPr>
          <w:lang w:val="en-CA"/>
        </w:rPr>
        <w:t xml:space="preserve">recalculation of the rate coefficient was performed using </w:t>
      </w:r>
      <w:r w:rsidR="007A5640">
        <w:rPr>
          <w:lang w:val="en-CA"/>
        </w:rPr>
        <w:t>the</w:t>
      </w:r>
      <w:r w:rsidR="00B0355B">
        <w:rPr>
          <w:lang w:val="en-CA"/>
        </w:rPr>
        <w:t xml:space="preserve"> selected value for the reference reaction (1.88 × 10</w:t>
      </w:r>
      <w:r w:rsidR="00B0355B">
        <w:rPr>
          <w:vertAlign w:val="superscript"/>
          <w:lang w:val="en-CA"/>
        </w:rPr>
        <w:t>9</w:t>
      </w:r>
      <w:r w:rsidR="00B0355B">
        <w:rPr>
          <w:lang w:val="en-CA"/>
        </w:rPr>
        <w:t> M</w:t>
      </w:r>
      <w:r w:rsidR="00B0355B">
        <w:rPr>
          <w:vertAlign w:val="superscript"/>
          <w:lang w:val="en-CA"/>
        </w:rPr>
        <w:noBreakHyphen/>
        <w:t>1</w:t>
      </w:r>
      <w:r w:rsidR="00B0355B">
        <w:rPr>
          <w:lang w:val="en-CA"/>
        </w:rPr>
        <w:t>s</w:t>
      </w:r>
      <w:r w:rsidR="00B0355B">
        <w:rPr>
          <w:vertAlign w:val="superscript"/>
          <w:lang w:val="en-CA"/>
        </w:rPr>
        <w:noBreakHyphen/>
        <w:t>1</w:t>
      </w:r>
      <w:r w:rsidR="00B0355B">
        <w:rPr>
          <w:lang w:val="en-CA"/>
        </w:rPr>
        <w:t>);</w:t>
      </w:r>
      <w:r w:rsidR="00346850" w:rsidRPr="0030607B">
        <w:rPr>
          <w:lang w:val="en-CA"/>
        </w:rPr>
        <w:t xml:space="preserve"> no values given for initial concentrations; air saturated solutions; all experiments were repeated at least four times and the coefficient of variation was less than ± 10%</w:t>
      </w:r>
      <w:r w:rsidR="00346850">
        <w:rPr>
          <w:lang w:val="en-CA"/>
        </w:rPr>
        <w:t xml:space="preserve">; </w:t>
      </w:r>
      <w:r w:rsidR="007A5640">
        <w:rPr>
          <w:lang w:val="en-CA"/>
        </w:rPr>
        <w:t>as no temperature is given, for room temperature T = 294 K is assumed</w:t>
      </w:r>
      <w:r w:rsidR="007D75E8">
        <w:rPr>
          <w:lang w:val="en-CA"/>
        </w:rPr>
        <w:t xml:space="preserve">. </w:t>
      </w:r>
    </w:p>
    <w:p w:rsidR="00C94ED5" w:rsidRPr="005D4CF6" w:rsidRDefault="00C94ED5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C8023F" w:rsidTr="00604D2C">
        <w:tc>
          <w:tcPr>
            <w:tcW w:w="2059" w:type="dxa"/>
          </w:tcPr>
          <w:p w:rsidR="007F4C67" w:rsidRPr="00C8023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C8023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C8023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C8023F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C8023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C8023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C8023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C8023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C8023F" w:rsidRDefault="00C8023F" w:rsidP="004E707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5.</w:t>
            </w:r>
            <w:r w:rsidR="00B0355B">
              <w:rPr>
                <w:rFonts w:ascii="Times New Roman" w:hAnsi="Times New Roman" w:cs="Times New Roman"/>
                <w:color w:val="000000"/>
                <w:lang w:val="en-US" w:eastAsia="de-DE"/>
              </w:rPr>
              <w:t>47 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× </w:t>
            </w:r>
            <w:r w:rsidR="004E707A">
              <w:rPr>
                <w:rFonts w:ascii="Times New Roman" w:hAnsi="Times New Roman" w:cs="Times New Roman"/>
                <w:color w:val="000000"/>
                <w:lang w:val="en-US" w:eastAsia="de-DE"/>
              </w:rPr>
              <w:t>10</w:t>
            </w:r>
            <w:r w:rsidR="004E707A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8</w:t>
            </w:r>
          </w:p>
        </w:tc>
        <w:tc>
          <w:tcPr>
            <w:tcW w:w="2175" w:type="dxa"/>
          </w:tcPr>
          <w:p w:rsidR="007F4C67" w:rsidRPr="00C8023F" w:rsidRDefault="001954A5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C8023F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580C" w:rsidRPr="00C8023F" w:rsidTr="00604D2C">
        <w:tc>
          <w:tcPr>
            <w:tcW w:w="2059" w:type="dxa"/>
          </w:tcPr>
          <w:p w:rsidR="0027580C" w:rsidRPr="00C8023F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C8023F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C8023F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7F4C67" w:rsidRPr="00C8023F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C8023F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C8023F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C8023F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8023F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C8023F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C8023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C8023F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8023F" w:rsidRDefault="00927986" w:rsidP="00CE7CCD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CE7CCD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8023F" w:rsidRDefault="001954A5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C8023F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</w:tbl>
    <w:p w:rsidR="007F4C67" w:rsidRPr="00155BCA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155BCA" w:rsidRPr="00155BCA" w:rsidRDefault="00155BCA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B0355B" w:rsidRPr="007D5DF5" w:rsidRDefault="007A5640" w:rsidP="00503F9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 w:rsidRPr="007A5640">
        <w:rPr>
          <w:spacing w:val="-3"/>
          <w:lang w:val="en-CA"/>
        </w:rPr>
        <w:t xml:space="preserve">The only available rate constant determined by Adams et al. (1965), has been recalculated using the recommended rate constant for the reference reaction. </w:t>
      </w:r>
      <w:r w:rsidR="00B0355B" w:rsidRPr="007A5640">
        <w:rPr>
          <w:spacing w:val="-3"/>
          <w:lang w:val="en-CA"/>
        </w:rPr>
        <w:t xml:space="preserve">The uncertainty </w:t>
      </w:r>
      <w:r w:rsidR="00A61C24">
        <w:rPr>
          <w:spacing w:val="-3"/>
          <w:lang w:val="en-CA"/>
        </w:rPr>
        <w:t xml:space="preserve">of the recommended value </w:t>
      </w:r>
      <w:r w:rsidR="00B0355B" w:rsidRPr="007A5640">
        <w:rPr>
          <w:spacing w:val="-3"/>
          <w:lang w:val="en-CA"/>
        </w:rPr>
        <w:t xml:space="preserve">is estimated to ±33 % or </w:t>
      </w:r>
      <w:r w:rsidR="00B0355B" w:rsidRPr="007A5640">
        <w:rPr>
          <w:rFonts w:ascii="Times New Roman" w:hAnsi="Times New Roman" w:cs="Times New Roman"/>
          <w:color w:val="000000"/>
          <w:lang w:val="de-DE" w:eastAsia="de-DE"/>
        </w:rPr>
        <w:t>Δ</w:t>
      </w:r>
      <w:r w:rsidR="00B0355B" w:rsidRPr="007A5640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B0355B" w:rsidRPr="007A5640">
        <w:rPr>
          <w:rFonts w:ascii="Times New Roman" w:hAnsi="Times New Roman" w:cs="Times New Roman"/>
          <w:i/>
          <w:color w:val="000000"/>
          <w:lang w:val="en-US" w:eastAsia="de-DE"/>
        </w:rPr>
        <w:t xml:space="preserve"> k </w:t>
      </w:r>
      <w:r w:rsidR="00B0355B" w:rsidRPr="007A5640">
        <w:rPr>
          <w:rFonts w:ascii="Times New Roman" w:hAnsi="Times New Roman" w:cs="Times New Roman"/>
          <w:color w:val="000000"/>
          <w:lang w:val="en-US" w:eastAsia="de-DE"/>
        </w:rPr>
        <w:t>= 0.15.</w:t>
      </w:r>
      <w:r w:rsidRPr="007A5640">
        <w:rPr>
          <w:rFonts w:ascii="Times New Roman" w:hAnsi="Times New Roman" w:cs="Times New Roman"/>
          <w:color w:val="000000"/>
          <w:lang w:val="en-US" w:eastAsia="de-DE"/>
        </w:rPr>
        <w:t xml:space="preserve"> </w:t>
      </w:r>
      <w:r w:rsidRPr="007A5640">
        <w:rPr>
          <w:rFonts w:eastAsia="Symbol"/>
          <w:color w:val="000000"/>
          <w:lang w:eastAsia="de-DE"/>
        </w:rPr>
        <w:t>It should be noted that this rate coefficient refers to room temperature, which we estimate as T = 294 K</w:t>
      </w:r>
      <w:r w:rsidRPr="007D5DF5">
        <w:rPr>
          <w:rFonts w:eastAsia="Symbol"/>
          <w:color w:val="000000"/>
          <w:lang w:eastAsia="de-DE"/>
        </w:rPr>
        <w:t>.</w:t>
      </w:r>
    </w:p>
    <w:p w:rsidR="00155BCA" w:rsidRPr="00404CD3" w:rsidRDefault="00155BCA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DB2748" w:rsidRPr="00404CD3" w:rsidRDefault="00DB274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lastRenderedPageBreak/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EA674C" w:rsidRPr="00EA674C" w:rsidRDefault="00EA674C" w:rsidP="00A91F89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EA674C">
        <w:rPr>
          <w:spacing w:val="-3"/>
          <w:lang w:val="en-US"/>
        </w:rPr>
        <w:t xml:space="preserve">Anbar, M., D. </w:t>
      </w:r>
      <w:proofErr w:type="spellStart"/>
      <w:r w:rsidRPr="00EA674C">
        <w:rPr>
          <w:spacing w:val="-3"/>
          <w:lang w:val="en-US"/>
        </w:rPr>
        <w:t>Meyerstein</w:t>
      </w:r>
      <w:proofErr w:type="spellEnd"/>
      <w:r w:rsidRPr="00EA674C">
        <w:rPr>
          <w:spacing w:val="-3"/>
          <w:lang w:val="en-US"/>
        </w:rPr>
        <w:t>, and P. Neta</w:t>
      </w:r>
      <w:r w:rsidR="007D75E8">
        <w:rPr>
          <w:spacing w:val="-3"/>
          <w:lang w:val="en-US"/>
        </w:rPr>
        <w:t xml:space="preserve">: </w:t>
      </w:r>
      <w:r w:rsidRPr="00EA674C">
        <w:rPr>
          <w:spacing w:val="-3"/>
          <w:lang w:val="en-US"/>
        </w:rPr>
        <w:t>Journal of the Chemical Society B: Physical Organic</w:t>
      </w:r>
      <w:r w:rsidRPr="00A91F89">
        <w:rPr>
          <w:spacing w:val="-3"/>
          <w:lang w:val="en-US"/>
        </w:rPr>
        <w:t>,</w:t>
      </w:r>
      <w:r w:rsidRPr="00EA674C">
        <w:rPr>
          <w:spacing w:val="-3"/>
          <w:lang w:val="en-US"/>
        </w:rPr>
        <w:t xml:space="preserve"> 742-747</w:t>
      </w:r>
      <w:r w:rsidR="00C94ED5" w:rsidRPr="00A91F89">
        <w:rPr>
          <w:spacing w:val="-3"/>
          <w:lang w:val="en-US"/>
        </w:rPr>
        <w:t>, 1966</w:t>
      </w:r>
      <w:r w:rsidRPr="00EA674C">
        <w:rPr>
          <w:spacing w:val="-3"/>
          <w:lang w:val="en-US"/>
        </w:rPr>
        <w:t>.</w:t>
      </w:r>
    </w:p>
    <w:p w:rsidR="00EA674C" w:rsidRDefault="00EA674C" w:rsidP="00467E51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sectPr w:rsidR="00EA674C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175E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7F9F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AC9"/>
    <w:rsid w:val="001318D0"/>
    <w:rsid w:val="00133FEA"/>
    <w:rsid w:val="001410F2"/>
    <w:rsid w:val="00145C54"/>
    <w:rsid w:val="00152FD9"/>
    <w:rsid w:val="00153BFD"/>
    <w:rsid w:val="00155BCA"/>
    <w:rsid w:val="001574B6"/>
    <w:rsid w:val="00157A3A"/>
    <w:rsid w:val="001637C3"/>
    <w:rsid w:val="0018490C"/>
    <w:rsid w:val="00192FCA"/>
    <w:rsid w:val="001954A5"/>
    <w:rsid w:val="00195B6D"/>
    <w:rsid w:val="00197003"/>
    <w:rsid w:val="001977C2"/>
    <w:rsid w:val="001A1912"/>
    <w:rsid w:val="001B27BC"/>
    <w:rsid w:val="001D6CBA"/>
    <w:rsid w:val="001E1761"/>
    <w:rsid w:val="001E1C70"/>
    <w:rsid w:val="001E4685"/>
    <w:rsid w:val="001F4EB5"/>
    <w:rsid w:val="0020061C"/>
    <w:rsid w:val="002103C5"/>
    <w:rsid w:val="00213E99"/>
    <w:rsid w:val="002143DF"/>
    <w:rsid w:val="00215F21"/>
    <w:rsid w:val="002162E9"/>
    <w:rsid w:val="00220181"/>
    <w:rsid w:val="00220DDF"/>
    <w:rsid w:val="00221A67"/>
    <w:rsid w:val="00221CE9"/>
    <w:rsid w:val="0022452F"/>
    <w:rsid w:val="00263497"/>
    <w:rsid w:val="00266D30"/>
    <w:rsid w:val="0027580C"/>
    <w:rsid w:val="002837BB"/>
    <w:rsid w:val="00284087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10BC1"/>
    <w:rsid w:val="00325D6F"/>
    <w:rsid w:val="003263B4"/>
    <w:rsid w:val="00336897"/>
    <w:rsid w:val="00346850"/>
    <w:rsid w:val="003515B2"/>
    <w:rsid w:val="00352F06"/>
    <w:rsid w:val="003570CC"/>
    <w:rsid w:val="003610F8"/>
    <w:rsid w:val="0036323E"/>
    <w:rsid w:val="003837BB"/>
    <w:rsid w:val="00390D27"/>
    <w:rsid w:val="003A2660"/>
    <w:rsid w:val="003A3A5A"/>
    <w:rsid w:val="003A5A2D"/>
    <w:rsid w:val="003A71F8"/>
    <w:rsid w:val="003B37E9"/>
    <w:rsid w:val="003B5E13"/>
    <w:rsid w:val="003B72AC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67E51"/>
    <w:rsid w:val="00484C52"/>
    <w:rsid w:val="00486CBB"/>
    <w:rsid w:val="004A407F"/>
    <w:rsid w:val="004A7BA6"/>
    <w:rsid w:val="004C3213"/>
    <w:rsid w:val="004C4D3E"/>
    <w:rsid w:val="004C6446"/>
    <w:rsid w:val="004E707A"/>
    <w:rsid w:val="004E7108"/>
    <w:rsid w:val="004F0504"/>
    <w:rsid w:val="004F7104"/>
    <w:rsid w:val="00501D48"/>
    <w:rsid w:val="00502F51"/>
    <w:rsid w:val="00503F91"/>
    <w:rsid w:val="00505161"/>
    <w:rsid w:val="00505A10"/>
    <w:rsid w:val="00506140"/>
    <w:rsid w:val="0051184C"/>
    <w:rsid w:val="00513019"/>
    <w:rsid w:val="00515086"/>
    <w:rsid w:val="00522F3B"/>
    <w:rsid w:val="0052608B"/>
    <w:rsid w:val="00541F5E"/>
    <w:rsid w:val="005424C6"/>
    <w:rsid w:val="00560013"/>
    <w:rsid w:val="00565A6E"/>
    <w:rsid w:val="00571A09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5F7C4A"/>
    <w:rsid w:val="00601BCA"/>
    <w:rsid w:val="00604D2C"/>
    <w:rsid w:val="00613C73"/>
    <w:rsid w:val="00615583"/>
    <w:rsid w:val="00636A12"/>
    <w:rsid w:val="0063704E"/>
    <w:rsid w:val="00652F32"/>
    <w:rsid w:val="00654098"/>
    <w:rsid w:val="00663250"/>
    <w:rsid w:val="00670889"/>
    <w:rsid w:val="00675054"/>
    <w:rsid w:val="00692339"/>
    <w:rsid w:val="00692A22"/>
    <w:rsid w:val="006A1A56"/>
    <w:rsid w:val="006A2320"/>
    <w:rsid w:val="006A6692"/>
    <w:rsid w:val="006B1C76"/>
    <w:rsid w:val="006B2DDA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10305"/>
    <w:rsid w:val="0071369E"/>
    <w:rsid w:val="0072051C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A5640"/>
    <w:rsid w:val="007B0E88"/>
    <w:rsid w:val="007C0F73"/>
    <w:rsid w:val="007C1BA6"/>
    <w:rsid w:val="007C1E12"/>
    <w:rsid w:val="007D5DF5"/>
    <w:rsid w:val="007D75E8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9E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F0755"/>
    <w:rsid w:val="008F63FC"/>
    <w:rsid w:val="009019D2"/>
    <w:rsid w:val="009027B1"/>
    <w:rsid w:val="009044BD"/>
    <w:rsid w:val="00913834"/>
    <w:rsid w:val="00921793"/>
    <w:rsid w:val="00923C28"/>
    <w:rsid w:val="00927986"/>
    <w:rsid w:val="00931B9D"/>
    <w:rsid w:val="00934A6A"/>
    <w:rsid w:val="00942081"/>
    <w:rsid w:val="009475A7"/>
    <w:rsid w:val="00951CF5"/>
    <w:rsid w:val="00954AD9"/>
    <w:rsid w:val="00955D52"/>
    <w:rsid w:val="00962DA4"/>
    <w:rsid w:val="0097499A"/>
    <w:rsid w:val="00976D47"/>
    <w:rsid w:val="00977BF1"/>
    <w:rsid w:val="0099441C"/>
    <w:rsid w:val="00994D88"/>
    <w:rsid w:val="00997B94"/>
    <w:rsid w:val="009B21A3"/>
    <w:rsid w:val="009C37A2"/>
    <w:rsid w:val="009C4BE5"/>
    <w:rsid w:val="009C785D"/>
    <w:rsid w:val="009C7A1E"/>
    <w:rsid w:val="009D0C5A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141C"/>
    <w:rsid w:val="00A23BD8"/>
    <w:rsid w:val="00A25342"/>
    <w:rsid w:val="00A27EE9"/>
    <w:rsid w:val="00A35C85"/>
    <w:rsid w:val="00A36C41"/>
    <w:rsid w:val="00A47C2F"/>
    <w:rsid w:val="00A528B3"/>
    <w:rsid w:val="00A57E5E"/>
    <w:rsid w:val="00A61C24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D0E6A"/>
    <w:rsid w:val="00AD4544"/>
    <w:rsid w:val="00AD4E09"/>
    <w:rsid w:val="00AF2E74"/>
    <w:rsid w:val="00AF43D2"/>
    <w:rsid w:val="00AF52EF"/>
    <w:rsid w:val="00B01FBD"/>
    <w:rsid w:val="00B0355B"/>
    <w:rsid w:val="00B12B55"/>
    <w:rsid w:val="00B20C78"/>
    <w:rsid w:val="00B228B1"/>
    <w:rsid w:val="00B3156D"/>
    <w:rsid w:val="00B35123"/>
    <w:rsid w:val="00B52179"/>
    <w:rsid w:val="00B525A0"/>
    <w:rsid w:val="00B61525"/>
    <w:rsid w:val="00B73CCE"/>
    <w:rsid w:val="00B84B46"/>
    <w:rsid w:val="00B85353"/>
    <w:rsid w:val="00B95A51"/>
    <w:rsid w:val="00B95CF4"/>
    <w:rsid w:val="00BA1397"/>
    <w:rsid w:val="00BA1C31"/>
    <w:rsid w:val="00BA71C5"/>
    <w:rsid w:val="00BB3581"/>
    <w:rsid w:val="00BB7807"/>
    <w:rsid w:val="00BB7992"/>
    <w:rsid w:val="00BC167C"/>
    <w:rsid w:val="00BD22BD"/>
    <w:rsid w:val="00BD2606"/>
    <w:rsid w:val="00BD451A"/>
    <w:rsid w:val="00BD78C5"/>
    <w:rsid w:val="00BE50FB"/>
    <w:rsid w:val="00BF14A7"/>
    <w:rsid w:val="00BF2B4D"/>
    <w:rsid w:val="00C00643"/>
    <w:rsid w:val="00C013BC"/>
    <w:rsid w:val="00C10304"/>
    <w:rsid w:val="00C11A68"/>
    <w:rsid w:val="00C17A31"/>
    <w:rsid w:val="00C22890"/>
    <w:rsid w:val="00C25093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8023F"/>
    <w:rsid w:val="00C90E43"/>
    <w:rsid w:val="00C94795"/>
    <w:rsid w:val="00C94ED5"/>
    <w:rsid w:val="00CB00F8"/>
    <w:rsid w:val="00CB0B81"/>
    <w:rsid w:val="00CD1F98"/>
    <w:rsid w:val="00CD27A8"/>
    <w:rsid w:val="00CE2122"/>
    <w:rsid w:val="00CE24B0"/>
    <w:rsid w:val="00CE7CCD"/>
    <w:rsid w:val="00D12D39"/>
    <w:rsid w:val="00D17C09"/>
    <w:rsid w:val="00D17F0E"/>
    <w:rsid w:val="00D2355F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A1929"/>
    <w:rsid w:val="00DB2748"/>
    <w:rsid w:val="00DB53BB"/>
    <w:rsid w:val="00DB6F16"/>
    <w:rsid w:val="00DC16BF"/>
    <w:rsid w:val="00DD1D44"/>
    <w:rsid w:val="00DD5CB6"/>
    <w:rsid w:val="00DE09D1"/>
    <w:rsid w:val="00DE439D"/>
    <w:rsid w:val="00DF64B2"/>
    <w:rsid w:val="00DF6645"/>
    <w:rsid w:val="00E00EDD"/>
    <w:rsid w:val="00E016CB"/>
    <w:rsid w:val="00E02483"/>
    <w:rsid w:val="00E16CA4"/>
    <w:rsid w:val="00E204AF"/>
    <w:rsid w:val="00E40753"/>
    <w:rsid w:val="00E50B31"/>
    <w:rsid w:val="00E522A5"/>
    <w:rsid w:val="00E54FE8"/>
    <w:rsid w:val="00E5686D"/>
    <w:rsid w:val="00E63EE2"/>
    <w:rsid w:val="00E75E9C"/>
    <w:rsid w:val="00E82DB1"/>
    <w:rsid w:val="00E913D0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B81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62CD4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ADD0-632D-4CFE-B684-AEAE675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C802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023F"/>
    <w:rPr>
      <w:sz w:val="20"/>
      <w:szCs w:val="20"/>
    </w:rPr>
  </w:style>
  <w:style w:type="character" w:customStyle="1" w:styleId="KommentartextZchn">
    <w:name w:val="Kommentartext Zchn"/>
    <w:link w:val="Kommentartext"/>
    <w:rsid w:val="00C8023F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8023F"/>
    <w:rPr>
      <w:b/>
      <w:bCs/>
    </w:rPr>
  </w:style>
  <w:style w:type="character" w:customStyle="1" w:styleId="KommentarthemaZchn">
    <w:name w:val="Kommentarthema Zchn"/>
    <w:link w:val="Kommentarthema"/>
    <w:rsid w:val="00C8023F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2105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2018-05-29T14:26:00Z</cp:lastPrinted>
  <dcterms:created xsi:type="dcterms:W3CDTF">2020-01-13T13:18:00Z</dcterms:created>
  <dcterms:modified xsi:type="dcterms:W3CDTF">2020-01-13T13:18:00Z</dcterms:modified>
</cp:coreProperties>
</file>