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6C75BDB" w14:textId="77777777" w:rsidR="00083A9E" w:rsidRPr="00643BD9" w:rsidRDefault="00083A9E" w:rsidP="00083A9E">
      <w:pPr>
        <w:pStyle w:val="BodyTextIndent"/>
        <w:ind w:left="0"/>
        <w:rPr>
          <w:szCs w:val="24"/>
        </w:rPr>
      </w:pPr>
      <w:r w:rsidRPr="00643BD9">
        <w:rPr>
          <w:b/>
          <w:szCs w:val="24"/>
        </w:rPr>
        <w:t xml:space="preserve">IUPAC Task Group on Atmospheric Chemical Kinetic Data Evaluation – Data Sheet </w:t>
      </w:r>
      <w:r w:rsidR="00643BD9" w:rsidRPr="00643BD9">
        <w:rPr>
          <w:b/>
          <w:szCs w:val="24"/>
        </w:rPr>
        <w:t>CGI</w:t>
      </w:r>
      <w:r w:rsidRPr="00643BD9">
        <w:rPr>
          <w:b/>
          <w:szCs w:val="24"/>
        </w:rPr>
        <w:t>_</w:t>
      </w:r>
      <w:r w:rsidR="00861DC1">
        <w:rPr>
          <w:b/>
          <w:szCs w:val="24"/>
        </w:rPr>
        <w:t>6</w:t>
      </w:r>
    </w:p>
    <w:p w14:paraId="291B8E44" w14:textId="77777777" w:rsidR="00083A9E" w:rsidRDefault="00083A9E" w:rsidP="00083A9E">
      <w:pPr>
        <w:ind w:right="680"/>
        <w:jc w:val="both"/>
        <w:rPr>
          <w:szCs w:val="24"/>
        </w:rPr>
      </w:pPr>
      <w:r>
        <w:rPr>
          <w:szCs w:val="24"/>
        </w:rPr>
        <w:t>Datasheets can be downloaded for personal use only and must not be retransmitted or disseminated either electronically or in hardcopy without explicit written permission. The citation for this data sheet is: IUPAC Task Group on Atmospheric Chemical Kinetic Data Evaluation, (</w:t>
      </w:r>
      <w:hyperlink r:id="rId8" w:history="1">
        <w:r>
          <w:rPr>
            <w:rStyle w:val="Hyperlink"/>
            <w:szCs w:val="24"/>
          </w:rPr>
          <w:t>http://iupac.pole-ether.fr</w:t>
        </w:r>
      </w:hyperlink>
      <w:r>
        <w:rPr>
          <w:szCs w:val="24"/>
        </w:rPr>
        <w:t xml:space="preserve">). </w:t>
      </w:r>
    </w:p>
    <w:p w14:paraId="212D98E7" w14:textId="77777777" w:rsidR="00083A9E" w:rsidRDefault="00083A9E" w:rsidP="00083A9E">
      <w:pPr>
        <w:ind w:right="525"/>
        <w:jc w:val="both"/>
      </w:pPr>
      <w:r>
        <w:rPr>
          <w:szCs w:val="24"/>
        </w:rPr>
        <w:t xml:space="preserve">This datasheet last evaluated: </w:t>
      </w:r>
      <w:r w:rsidR="002874A0">
        <w:rPr>
          <w:szCs w:val="24"/>
        </w:rPr>
        <w:t>November 2016</w:t>
      </w:r>
      <w:r>
        <w:rPr>
          <w:szCs w:val="24"/>
        </w:rPr>
        <w:t xml:space="preserve">; last change in preferred values: </w:t>
      </w:r>
      <w:r w:rsidR="002874A0">
        <w:rPr>
          <w:szCs w:val="24"/>
        </w:rPr>
        <w:t>November 2016</w:t>
      </w:r>
    </w:p>
    <w:p w14:paraId="6D4F935B" w14:textId="77777777" w:rsidR="00667891" w:rsidRDefault="00667891">
      <w:pPr>
        <w:ind w:right="332"/>
      </w:pPr>
      <w:r>
        <w:pict w14:anchorId="3BFBD0E5">
          <v:line id="_x0000_s1026" style="position:absolute;z-index:1" from="-67.05pt,11.4pt" to="528.2pt,11.4pt" strokeweight=".26mm">
            <v:stroke joinstyle="miter" endcap="square"/>
          </v:line>
        </w:pict>
      </w:r>
    </w:p>
    <w:p w14:paraId="20D5082A" w14:textId="77777777" w:rsidR="00667891" w:rsidRDefault="00667891">
      <w:pPr>
        <w:tabs>
          <w:tab w:val="center" w:pos="4680"/>
        </w:tabs>
        <w:jc w:val="center"/>
      </w:pPr>
    </w:p>
    <w:p w14:paraId="27A701B6" w14:textId="77777777" w:rsidR="00083A9E" w:rsidRDefault="00643BD9" w:rsidP="009B62DB">
      <w:pPr>
        <w:tabs>
          <w:tab w:val="left" w:pos="4820"/>
        </w:tabs>
        <w:ind w:left="2880" w:firstLine="664"/>
        <w:jc w:val="both"/>
        <w:rPr>
          <w:b/>
        </w:rPr>
      </w:pPr>
      <w:r>
        <w:rPr>
          <w:b/>
        </w:rPr>
        <w:t>CH</w:t>
      </w:r>
      <w:r>
        <w:rPr>
          <w:b/>
          <w:vertAlign w:val="subscript"/>
        </w:rPr>
        <w:t>2</w:t>
      </w:r>
      <w:r>
        <w:rPr>
          <w:b/>
        </w:rPr>
        <w:t xml:space="preserve">OO + </w:t>
      </w:r>
      <w:r w:rsidR="00861DC1">
        <w:rPr>
          <w:b/>
        </w:rPr>
        <w:t>I</w:t>
      </w:r>
      <w:r>
        <w:rPr>
          <w:b/>
        </w:rPr>
        <w:t xml:space="preserve"> </w:t>
      </w:r>
      <w:r w:rsidR="009B62DB">
        <w:rPr>
          <w:b/>
        </w:rPr>
        <w:tab/>
      </w:r>
      <w:r>
        <w:rPr>
          <w:b/>
        </w:rPr>
        <w:sym w:font="Symbol" w:char="F0AE"/>
      </w:r>
      <w:r>
        <w:rPr>
          <w:b/>
        </w:rPr>
        <w:t xml:space="preserve"> </w:t>
      </w:r>
      <w:r w:rsidR="00EB1D0E">
        <w:rPr>
          <w:b/>
        </w:rPr>
        <w:t xml:space="preserve">HCHO + </w:t>
      </w:r>
      <w:r w:rsidR="00861DC1">
        <w:rPr>
          <w:b/>
        </w:rPr>
        <w:t>IO</w:t>
      </w:r>
      <w:r w:rsidR="00217F20">
        <w:rPr>
          <w:b/>
        </w:rPr>
        <w:tab/>
      </w:r>
      <w:r w:rsidR="00217F20">
        <w:rPr>
          <w:b/>
        </w:rPr>
        <w:tab/>
        <w:t>(1)</w:t>
      </w:r>
    </w:p>
    <w:p w14:paraId="4CF95D69" w14:textId="77777777" w:rsidR="00861DC1" w:rsidRPr="00217F20" w:rsidRDefault="00861DC1" w:rsidP="00861DC1">
      <w:pPr>
        <w:tabs>
          <w:tab w:val="left" w:pos="4820"/>
        </w:tabs>
        <w:jc w:val="both"/>
        <w:rPr>
          <w:b/>
        </w:rPr>
      </w:pPr>
      <w:r>
        <w:rPr>
          <w:b/>
        </w:rPr>
        <w:tab/>
      </w:r>
      <w:r>
        <w:rPr>
          <w:b/>
        </w:rPr>
        <w:sym w:font="Symbol" w:char="F0AE"/>
      </w:r>
      <w:r>
        <w:rPr>
          <w:b/>
        </w:rPr>
        <w:t xml:space="preserve"> CH</w:t>
      </w:r>
      <w:r w:rsidRPr="00861DC1">
        <w:rPr>
          <w:b/>
          <w:vertAlign w:val="subscript"/>
        </w:rPr>
        <w:t>2</w:t>
      </w:r>
      <w:r>
        <w:rPr>
          <w:b/>
        </w:rPr>
        <w:t>I + O</w:t>
      </w:r>
      <w:r w:rsidRPr="00861DC1">
        <w:rPr>
          <w:b/>
          <w:vertAlign w:val="subscript"/>
        </w:rPr>
        <w:t>2</w:t>
      </w:r>
      <w:r w:rsidR="00217F20">
        <w:rPr>
          <w:b/>
        </w:rPr>
        <w:tab/>
      </w:r>
      <w:r w:rsidR="00217F20">
        <w:rPr>
          <w:b/>
        </w:rPr>
        <w:tab/>
        <w:t>(2)</w:t>
      </w:r>
    </w:p>
    <w:p w14:paraId="15816B20" w14:textId="77777777" w:rsidR="00861DC1" w:rsidRPr="001D3940" w:rsidRDefault="00861DC1" w:rsidP="009B62DB">
      <w:pPr>
        <w:tabs>
          <w:tab w:val="left" w:pos="4820"/>
        </w:tabs>
        <w:ind w:firstLine="3119"/>
        <w:jc w:val="both"/>
        <w:rPr>
          <w:color w:val="auto"/>
        </w:rPr>
      </w:pPr>
      <w:r>
        <w:rPr>
          <w:b/>
        </w:rPr>
        <w:t>CH</w:t>
      </w:r>
      <w:r>
        <w:rPr>
          <w:b/>
          <w:vertAlign w:val="subscript"/>
        </w:rPr>
        <w:t>2</w:t>
      </w:r>
      <w:r>
        <w:rPr>
          <w:b/>
        </w:rPr>
        <w:t>OO + I + M</w:t>
      </w:r>
      <w:r w:rsidR="009B62DB">
        <w:rPr>
          <w:b/>
        </w:rPr>
        <w:tab/>
      </w:r>
      <w:r>
        <w:rPr>
          <w:b/>
        </w:rPr>
        <w:sym w:font="Symbol" w:char="F0AE"/>
      </w:r>
      <w:r>
        <w:rPr>
          <w:b/>
        </w:rPr>
        <w:t xml:space="preserve"> ICH</w:t>
      </w:r>
      <w:r w:rsidRPr="00861DC1">
        <w:rPr>
          <w:b/>
          <w:vertAlign w:val="subscript"/>
        </w:rPr>
        <w:t>2</w:t>
      </w:r>
      <w:r>
        <w:rPr>
          <w:b/>
        </w:rPr>
        <w:t>OO + M</w:t>
      </w:r>
      <w:r w:rsidR="00217F20">
        <w:rPr>
          <w:b/>
        </w:rPr>
        <w:tab/>
        <w:t>(3)</w:t>
      </w:r>
    </w:p>
    <w:p w14:paraId="20F76645" w14:textId="77777777" w:rsidR="00083A9E" w:rsidRPr="001D3940" w:rsidRDefault="00083A9E" w:rsidP="00083A9E">
      <w:pPr>
        <w:tabs>
          <w:tab w:val="left" w:pos="-1440"/>
          <w:tab w:val="left" w:pos="-720"/>
          <w:tab w:val="left" w:pos="288"/>
        </w:tabs>
        <w:jc w:val="both"/>
        <w:rPr>
          <w:color w:val="auto"/>
        </w:rPr>
      </w:pPr>
    </w:p>
    <w:p w14:paraId="4E1B2F05" w14:textId="77777777" w:rsidR="00083A9E" w:rsidRPr="001D3940" w:rsidRDefault="00083A9E" w:rsidP="00083A9E">
      <w:pPr>
        <w:pStyle w:val="Heading2"/>
        <w:rPr>
          <w:color w:val="auto"/>
        </w:rPr>
      </w:pPr>
      <w:r w:rsidRPr="001D3940">
        <w:rPr>
          <w:rFonts w:ascii="Times New Roman" w:hAnsi="Times New Roman" w:cs="Times New Roman"/>
          <w:color w:val="auto"/>
        </w:rPr>
        <w:t>Rate coefficient data</w:t>
      </w:r>
      <w:r w:rsidR="00217F20">
        <w:rPr>
          <w:rFonts w:ascii="Times New Roman" w:hAnsi="Times New Roman" w:cs="Times New Roman"/>
          <w:color w:val="auto"/>
        </w:rPr>
        <w:t xml:space="preserve"> (</w:t>
      </w:r>
      <w:r w:rsidR="00217F20" w:rsidRPr="00217F20">
        <w:rPr>
          <w:rFonts w:ascii="Times New Roman" w:hAnsi="Times New Roman" w:cs="Times New Roman"/>
          <w:i/>
          <w:color w:val="auto"/>
        </w:rPr>
        <w:t>k</w:t>
      </w:r>
      <w:r w:rsidR="00217F20">
        <w:rPr>
          <w:rFonts w:ascii="Times New Roman" w:hAnsi="Times New Roman" w:cs="Times New Roman"/>
          <w:color w:val="auto"/>
        </w:rPr>
        <w:t xml:space="preserve"> = </w:t>
      </w:r>
      <w:r w:rsidR="00217F20" w:rsidRPr="00217F20">
        <w:rPr>
          <w:rFonts w:ascii="Times New Roman" w:hAnsi="Times New Roman" w:cs="Times New Roman"/>
          <w:i/>
          <w:color w:val="auto"/>
        </w:rPr>
        <w:t>k</w:t>
      </w:r>
      <w:r w:rsidR="00217F20" w:rsidRPr="00217F20">
        <w:rPr>
          <w:rFonts w:ascii="Times New Roman" w:hAnsi="Times New Roman" w:cs="Times New Roman"/>
          <w:color w:val="auto"/>
          <w:vertAlign w:val="subscript"/>
        </w:rPr>
        <w:t>1</w:t>
      </w:r>
      <w:r w:rsidR="00217F20">
        <w:rPr>
          <w:rFonts w:ascii="Times New Roman" w:hAnsi="Times New Roman" w:cs="Times New Roman"/>
          <w:color w:val="auto"/>
        </w:rPr>
        <w:t xml:space="preserve"> + </w:t>
      </w:r>
      <w:r w:rsidR="00217F20" w:rsidRPr="00217F20">
        <w:rPr>
          <w:rFonts w:ascii="Times New Roman" w:hAnsi="Times New Roman" w:cs="Times New Roman"/>
          <w:i/>
          <w:color w:val="auto"/>
        </w:rPr>
        <w:t>k</w:t>
      </w:r>
      <w:r w:rsidR="00217F20" w:rsidRPr="00217F20">
        <w:rPr>
          <w:rFonts w:ascii="Times New Roman" w:hAnsi="Times New Roman" w:cs="Times New Roman"/>
          <w:color w:val="auto"/>
          <w:vertAlign w:val="subscript"/>
        </w:rPr>
        <w:t>2</w:t>
      </w:r>
      <w:r w:rsidR="00217F20">
        <w:rPr>
          <w:rFonts w:ascii="Times New Roman" w:hAnsi="Times New Roman" w:cs="Times New Roman"/>
          <w:color w:val="auto"/>
        </w:rPr>
        <w:t xml:space="preserve"> + </w:t>
      </w:r>
      <w:r w:rsidR="00217F20" w:rsidRPr="00217F20">
        <w:rPr>
          <w:rFonts w:ascii="Times New Roman" w:hAnsi="Times New Roman" w:cs="Times New Roman"/>
          <w:i/>
          <w:color w:val="auto"/>
        </w:rPr>
        <w:t>k</w:t>
      </w:r>
      <w:r w:rsidR="00217F20" w:rsidRPr="00217F20">
        <w:rPr>
          <w:rFonts w:ascii="Times New Roman" w:hAnsi="Times New Roman" w:cs="Times New Roman"/>
          <w:color w:val="auto"/>
          <w:vertAlign w:val="subscript"/>
        </w:rPr>
        <w:t>3</w:t>
      </w:r>
      <w:r w:rsidR="00217F20">
        <w:rPr>
          <w:rFonts w:ascii="Times New Roman" w:hAnsi="Times New Roman" w:cs="Times New Roman"/>
          <w:color w:val="auto"/>
        </w:rPr>
        <w:t>)</w:t>
      </w:r>
    </w:p>
    <w:p w14:paraId="03E7B760" w14:textId="77777777" w:rsidR="00083A9E" w:rsidRPr="001D3940" w:rsidRDefault="00083A9E" w:rsidP="00083A9E">
      <w:pPr>
        <w:tabs>
          <w:tab w:val="center" w:pos="4680"/>
        </w:tabs>
        <w:jc w:val="both"/>
        <w:rPr>
          <w:b/>
          <w:color w:val="auto"/>
        </w:rPr>
      </w:pPr>
    </w:p>
    <w:tbl>
      <w:tblPr>
        <w:tblW w:w="0" w:type="auto"/>
        <w:tblInd w:w="578" w:type="dxa"/>
        <w:tblLayout w:type="fixed"/>
        <w:tblLook w:val="0000" w:firstRow="0" w:lastRow="0" w:firstColumn="0" w:lastColumn="0" w:noHBand="0" w:noVBand="0"/>
      </w:tblPr>
      <w:tblGrid>
        <w:gridCol w:w="3216"/>
        <w:gridCol w:w="992"/>
        <w:gridCol w:w="142"/>
        <w:gridCol w:w="2410"/>
        <w:gridCol w:w="141"/>
        <w:gridCol w:w="1985"/>
        <w:gridCol w:w="121"/>
      </w:tblGrid>
      <w:tr w:rsidR="00083A9E" w:rsidRPr="001D3940" w14:paraId="10F18C4F" w14:textId="77777777" w:rsidTr="008D7B6A">
        <w:trPr>
          <w:gridAfter w:val="1"/>
          <w:wAfter w:w="121" w:type="dxa"/>
        </w:trPr>
        <w:tc>
          <w:tcPr>
            <w:tcW w:w="3216" w:type="dxa"/>
            <w:tcBorders>
              <w:top w:val="double" w:sz="1" w:space="0" w:color="000000"/>
              <w:bottom w:val="single" w:sz="4" w:space="0" w:color="000000"/>
            </w:tcBorders>
            <w:shd w:val="clear" w:color="auto" w:fill="auto"/>
          </w:tcPr>
          <w:p w14:paraId="6B728835" w14:textId="77777777" w:rsidR="00083A9E" w:rsidRPr="001D3940" w:rsidRDefault="00083A9E" w:rsidP="00722811">
            <w:pPr>
              <w:tabs>
                <w:tab w:val="center" w:pos="4680"/>
              </w:tabs>
              <w:snapToGrid w:val="0"/>
              <w:spacing w:before="120" w:after="120"/>
              <w:jc w:val="both"/>
              <w:rPr>
                <w:color w:val="auto"/>
                <w:sz w:val="20"/>
              </w:rPr>
            </w:pPr>
            <w:r w:rsidRPr="001D3940">
              <w:rPr>
                <w:i/>
                <w:color w:val="auto"/>
                <w:sz w:val="20"/>
              </w:rPr>
              <w:t>k</w:t>
            </w:r>
            <w:r w:rsidRPr="001D3940">
              <w:rPr>
                <w:color w:val="auto"/>
                <w:sz w:val="20"/>
              </w:rPr>
              <w:t>/cm</w:t>
            </w:r>
            <w:r w:rsidRPr="001D3940">
              <w:rPr>
                <w:color w:val="auto"/>
                <w:sz w:val="20"/>
                <w:vertAlign w:val="superscript"/>
              </w:rPr>
              <w:t>3</w:t>
            </w:r>
            <w:r w:rsidRPr="001D3940">
              <w:rPr>
                <w:color w:val="auto"/>
                <w:sz w:val="20"/>
              </w:rPr>
              <w:t xml:space="preserve"> molecule</w:t>
            </w:r>
            <w:r w:rsidRPr="001D3940">
              <w:rPr>
                <w:color w:val="auto"/>
                <w:sz w:val="20"/>
                <w:vertAlign w:val="superscript"/>
              </w:rPr>
              <w:t>-1</w:t>
            </w:r>
            <w:r w:rsidRPr="001D3940">
              <w:rPr>
                <w:color w:val="auto"/>
                <w:sz w:val="20"/>
              </w:rPr>
              <w:t xml:space="preserve"> s</w:t>
            </w:r>
            <w:r w:rsidRPr="001D3940">
              <w:rPr>
                <w:color w:val="auto"/>
                <w:sz w:val="20"/>
                <w:vertAlign w:val="superscript"/>
              </w:rPr>
              <w:t>-1</w:t>
            </w:r>
          </w:p>
        </w:tc>
        <w:tc>
          <w:tcPr>
            <w:tcW w:w="1134" w:type="dxa"/>
            <w:gridSpan w:val="2"/>
            <w:tcBorders>
              <w:top w:val="double" w:sz="1" w:space="0" w:color="000000"/>
              <w:bottom w:val="single" w:sz="4" w:space="0" w:color="000000"/>
            </w:tcBorders>
            <w:shd w:val="clear" w:color="auto" w:fill="auto"/>
          </w:tcPr>
          <w:p w14:paraId="23E04B26" w14:textId="77777777" w:rsidR="00083A9E" w:rsidRPr="001D3940" w:rsidRDefault="00083A9E" w:rsidP="00722811">
            <w:pPr>
              <w:tabs>
                <w:tab w:val="center" w:pos="4680"/>
              </w:tabs>
              <w:snapToGrid w:val="0"/>
              <w:spacing w:before="120" w:after="120"/>
              <w:jc w:val="both"/>
              <w:rPr>
                <w:color w:val="auto"/>
                <w:sz w:val="20"/>
              </w:rPr>
            </w:pPr>
            <w:r w:rsidRPr="001D3940">
              <w:rPr>
                <w:color w:val="auto"/>
                <w:sz w:val="20"/>
              </w:rPr>
              <w:t>Temp./K</w:t>
            </w:r>
          </w:p>
        </w:tc>
        <w:tc>
          <w:tcPr>
            <w:tcW w:w="2551" w:type="dxa"/>
            <w:gridSpan w:val="2"/>
            <w:tcBorders>
              <w:top w:val="double" w:sz="1" w:space="0" w:color="000000"/>
              <w:bottom w:val="single" w:sz="4" w:space="0" w:color="000000"/>
            </w:tcBorders>
            <w:shd w:val="clear" w:color="auto" w:fill="auto"/>
          </w:tcPr>
          <w:p w14:paraId="6EAFA7E0" w14:textId="77777777" w:rsidR="00083A9E" w:rsidRPr="001D3940" w:rsidRDefault="00083A9E" w:rsidP="00722811">
            <w:pPr>
              <w:tabs>
                <w:tab w:val="center" w:pos="4680"/>
              </w:tabs>
              <w:snapToGrid w:val="0"/>
              <w:spacing w:before="120" w:after="120"/>
              <w:jc w:val="both"/>
              <w:rPr>
                <w:color w:val="auto"/>
                <w:sz w:val="20"/>
              </w:rPr>
            </w:pPr>
            <w:r w:rsidRPr="001D3940">
              <w:rPr>
                <w:color w:val="auto"/>
                <w:sz w:val="20"/>
              </w:rPr>
              <w:t>Reference</w:t>
            </w:r>
          </w:p>
        </w:tc>
        <w:tc>
          <w:tcPr>
            <w:tcW w:w="1985" w:type="dxa"/>
            <w:tcBorders>
              <w:top w:val="double" w:sz="1" w:space="0" w:color="000000"/>
              <w:bottom w:val="single" w:sz="4" w:space="0" w:color="000000"/>
            </w:tcBorders>
            <w:shd w:val="clear" w:color="auto" w:fill="auto"/>
          </w:tcPr>
          <w:p w14:paraId="63C8299E" w14:textId="77777777" w:rsidR="00083A9E" w:rsidRPr="001D3940" w:rsidRDefault="00083A9E" w:rsidP="00D8581C">
            <w:pPr>
              <w:tabs>
                <w:tab w:val="center" w:pos="4680"/>
              </w:tabs>
              <w:snapToGrid w:val="0"/>
              <w:spacing w:before="120" w:after="120"/>
              <w:ind w:left="-108"/>
              <w:jc w:val="both"/>
              <w:rPr>
                <w:color w:val="auto"/>
              </w:rPr>
            </w:pPr>
            <w:r w:rsidRPr="001D3940">
              <w:rPr>
                <w:color w:val="auto"/>
                <w:sz w:val="20"/>
              </w:rPr>
              <w:t>Technique/Comments</w:t>
            </w:r>
          </w:p>
        </w:tc>
      </w:tr>
      <w:tr w:rsidR="00083A9E" w:rsidRPr="00CA56DB" w14:paraId="71C7D16E" w14:textId="77777777" w:rsidTr="008D7B6A">
        <w:trPr>
          <w:gridAfter w:val="1"/>
          <w:wAfter w:w="121" w:type="dxa"/>
        </w:trPr>
        <w:tc>
          <w:tcPr>
            <w:tcW w:w="3216" w:type="dxa"/>
            <w:tcBorders>
              <w:top w:val="single" w:sz="4" w:space="0" w:color="000000"/>
            </w:tcBorders>
            <w:shd w:val="clear" w:color="auto" w:fill="auto"/>
          </w:tcPr>
          <w:p w14:paraId="1DA07A7C" w14:textId="77777777" w:rsidR="00083A9E" w:rsidRPr="00713905" w:rsidRDefault="00083A9E" w:rsidP="008D7B6A">
            <w:pPr>
              <w:spacing w:before="120"/>
              <w:rPr>
                <w:i/>
                <w:sz w:val="20"/>
              </w:rPr>
            </w:pPr>
            <w:r w:rsidRPr="00713905">
              <w:rPr>
                <w:i/>
                <w:sz w:val="20"/>
              </w:rPr>
              <w:t>Absolute Rate Coefficients</w:t>
            </w:r>
          </w:p>
        </w:tc>
        <w:tc>
          <w:tcPr>
            <w:tcW w:w="992" w:type="dxa"/>
            <w:tcBorders>
              <w:top w:val="single" w:sz="4" w:space="0" w:color="000000"/>
            </w:tcBorders>
            <w:shd w:val="clear" w:color="auto" w:fill="auto"/>
          </w:tcPr>
          <w:p w14:paraId="30879AF9" w14:textId="77777777" w:rsidR="00083A9E" w:rsidRPr="00CA56DB" w:rsidRDefault="00083A9E" w:rsidP="008D7B6A">
            <w:pPr>
              <w:tabs>
                <w:tab w:val="center" w:pos="4680"/>
              </w:tabs>
              <w:snapToGrid w:val="0"/>
              <w:jc w:val="both"/>
              <w:rPr>
                <w:color w:val="auto"/>
                <w:sz w:val="20"/>
              </w:rPr>
            </w:pPr>
          </w:p>
        </w:tc>
        <w:tc>
          <w:tcPr>
            <w:tcW w:w="2693" w:type="dxa"/>
            <w:gridSpan w:val="3"/>
            <w:tcBorders>
              <w:top w:val="single" w:sz="4" w:space="0" w:color="000000"/>
            </w:tcBorders>
            <w:shd w:val="clear" w:color="auto" w:fill="auto"/>
          </w:tcPr>
          <w:p w14:paraId="5D511793" w14:textId="77777777" w:rsidR="00083A9E" w:rsidRPr="00CA56DB" w:rsidRDefault="00083A9E" w:rsidP="008D7B6A">
            <w:pPr>
              <w:tabs>
                <w:tab w:val="center" w:pos="4680"/>
              </w:tabs>
              <w:snapToGrid w:val="0"/>
              <w:jc w:val="both"/>
              <w:rPr>
                <w:color w:val="auto"/>
                <w:sz w:val="20"/>
              </w:rPr>
            </w:pPr>
          </w:p>
        </w:tc>
        <w:tc>
          <w:tcPr>
            <w:tcW w:w="1985" w:type="dxa"/>
            <w:tcBorders>
              <w:top w:val="single" w:sz="4" w:space="0" w:color="000000"/>
            </w:tcBorders>
            <w:shd w:val="clear" w:color="auto" w:fill="auto"/>
          </w:tcPr>
          <w:p w14:paraId="0B02496F" w14:textId="77777777" w:rsidR="00083A9E" w:rsidRPr="00CA56DB" w:rsidRDefault="00083A9E" w:rsidP="008D7B6A">
            <w:pPr>
              <w:tabs>
                <w:tab w:val="center" w:pos="4680"/>
              </w:tabs>
              <w:snapToGrid w:val="0"/>
              <w:jc w:val="both"/>
              <w:rPr>
                <w:color w:val="auto"/>
                <w:sz w:val="20"/>
              </w:rPr>
            </w:pPr>
          </w:p>
        </w:tc>
      </w:tr>
      <w:tr w:rsidR="009B0CFC" w:rsidRPr="001D3940" w14:paraId="65C3B5AF" w14:textId="77777777" w:rsidTr="008D7B6A">
        <w:tc>
          <w:tcPr>
            <w:tcW w:w="3216" w:type="dxa"/>
            <w:shd w:val="clear" w:color="auto" w:fill="auto"/>
          </w:tcPr>
          <w:p w14:paraId="19BA6C50" w14:textId="77777777" w:rsidR="009B0CFC" w:rsidRPr="009B0CFC" w:rsidRDefault="009B0CFC" w:rsidP="009B62DB">
            <w:pPr>
              <w:rPr>
                <w:sz w:val="20"/>
              </w:rPr>
            </w:pPr>
            <w:r w:rsidRPr="009B0CFC">
              <w:rPr>
                <w:sz w:val="20"/>
              </w:rPr>
              <w:t xml:space="preserve">(4 ± 2) </w:t>
            </w:r>
            <w:r w:rsidRPr="00CA56DB">
              <w:rPr>
                <w:rFonts w:ascii="Symbol" w:eastAsia="Symbol" w:hAnsi="Symbol" w:cs="Symbol"/>
                <w:sz w:val="20"/>
              </w:rPr>
              <w:t></w:t>
            </w:r>
            <w:r w:rsidRPr="009B0CFC">
              <w:rPr>
                <w:sz w:val="20"/>
              </w:rPr>
              <w:t xml:space="preserve"> 10</w:t>
            </w:r>
            <w:r w:rsidRPr="009B0CFC">
              <w:rPr>
                <w:sz w:val="20"/>
                <w:vertAlign w:val="superscript"/>
              </w:rPr>
              <w:t>-1</w:t>
            </w:r>
            <w:r w:rsidR="009B62DB">
              <w:rPr>
                <w:sz w:val="20"/>
                <w:vertAlign w:val="superscript"/>
              </w:rPr>
              <w:t>1</w:t>
            </w:r>
          </w:p>
        </w:tc>
        <w:tc>
          <w:tcPr>
            <w:tcW w:w="992" w:type="dxa"/>
            <w:shd w:val="clear" w:color="auto" w:fill="auto"/>
          </w:tcPr>
          <w:p w14:paraId="1FD9FC93" w14:textId="77777777" w:rsidR="009B0CFC" w:rsidRPr="009B0CFC" w:rsidRDefault="009B0CFC" w:rsidP="00CA62A7">
            <w:pPr>
              <w:rPr>
                <w:sz w:val="20"/>
              </w:rPr>
            </w:pPr>
            <w:r w:rsidRPr="009B0CFC">
              <w:rPr>
                <w:sz w:val="20"/>
              </w:rPr>
              <w:t>343</w:t>
            </w:r>
          </w:p>
        </w:tc>
        <w:tc>
          <w:tcPr>
            <w:tcW w:w="2552" w:type="dxa"/>
            <w:gridSpan w:val="2"/>
            <w:shd w:val="clear" w:color="auto" w:fill="auto"/>
          </w:tcPr>
          <w:p w14:paraId="08BB6022" w14:textId="77777777" w:rsidR="009B0CFC" w:rsidRPr="009B0CFC" w:rsidRDefault="009B0CFC" w:rsidP="00CA62A7">
            <w:pPr>
              <w:rPr>
                <w:sz w:val="20"/>
              </w:rPr>
            </w:pPr>
            <w:r w:rsidRPr="009B0CFC">
              <w:rPr>
                <w:sz w:val="20"/>
              </w:rPr>
              <w:t>Su et al., 2014</w:t>
            </w:r>
          </w:p>
        </w:tc>
        <w:tc>
          <w:tcPr>
            <w:tcW w:w="2247" w:type="dxa"/>
            <w:gridSpan w:val="3"/>
            <w:shd w:val="clear" w:color="auto" w:fill="auto"/>
          </w:tcPr>
          <w:p w14:paraId="1763ABD5" w14:textId="77777777" w:rsidR="009B0CFC" w:rsidRPr="009B0CFC" w:rsidRDefault="009B0CFC" w:rsidP="00CA62A7">
            <w:pPr>
              <w:rPr>
                <w:sz w:val="20"/>
              </w:rPr>
            </w:pPr>
            <w:r w:rsidRPr="009B0CFC">
              <w:rPr>
                <w:sz w:val="20"/>
              </w:rPr>
              <w:t>PLP-FTIR (a)</w:t>
            </w:r>
          </w:p>
        </w:tc>
      </w:tr>
      <w:tr w:rsidR="009B0CFC" w:rsidRPr="001D3940" w14:paraId="254F0FF3" w14:textId="77777777" w:rsidTr="008D7B6A">
        <w:tc>
          <w:tcPr>
            <w:tcW w:w="3216" w:type="dxa"/>
            <w:shd w:val="clear" w:color="auto" w:fill="auto"/>
          </w:tcPr>
          <w:p w14:paraId="201DFA54" w14:textId="77777777" w:rsidR="009B0CFC" w:rsidRPr="009B62DB" w:rsidRDefault="009B62DB" w:rsidP="009B62DB">
            <w:pPr>
              <w:rPr>
                <w:sz w:val="20"/>
              </w:rPr>
            </w:pPr>
            <w:r w:rsidRPr="009B62DB">
              <w:rPr>
                <w:sz w:val="20"/>
              </w:rPr>
              <w:sym w:font="Symbol" w:char="F03C"/>
            </w:r>
            <w:r w:rsidRPr="009B62DB">
              <w:rPr>
                <w:sz w:val="20"/>
              </w:rPr>
              <w:t xml:space="preserve"> 1</w:t>
            </w:r>
            <w:r w:rsidR="009B0CFC" w:rsidRPr="009B62DB">
              <w:rPr>
                <w:sz w:val="20"/>
              </w:rPr>
              <w:t xml:space="preserve"> </w:t>
            </w:r>
            <w:r w:rsidR="009B0CFC" w:rsidRPr="009B62DB">
              <w:rPr>
                <w:rFonts w:ascii="Symbol" w:eastAsia="Symbol" w:hAnsi="Symbol" w:cs="Symbol"/>
                <w:sz w:val="20"/>
              </w:rPr>
              <w:t></w:t>
            </w:r>
            <w:r w:rsidR="009B0CFC" w:rsidRPr="009B62DB">
              <w:rPr>
                <w:sz w:val="20"/>
              </w:rPr>
              <w:t xml:space="preserve"> 10</w:t>
            </w:r>
            <w:r w:rsidR="009B0CFC" w:rsidRPr="009B62DB">
              <w:rPr>
                <w:sz w:val="20"/>
                <w:vertAlign w:val="superscript"/>
              </w:rPr>
              <w:t>-11</w:t>
            </w:r>
          </w:p>
        </w:tc>
        <w:tc>
          <w:tcPr>
            <w:tcW w:w="992" w:type="dxa"/>
            <w:shd w:val="clear" w:color="auto" w:fill="auto"/>
          </w:tcPr>
          <w:p w14:paraId="391936BE" w14:textId="77777777" w:rsidR="009B0CFC" w:rsidRPr="009B0CFC" w:rsidRDefault="009B0CFC" w:rsidP="00CA62A7">
            <w:pPr>
              <w:rPr>
                <w:sz w:val="20"/>
              </w:rPr>
            </w:pPr>
            <w:r w:rsidRPr="009B0CFC">
              <w:rPr>
                <w:sz w:val="20"/>
              </w:rPr>
              <w:t>297</w:t>
            </w:r>
          </w:p>
        </w:tc>
        <w:tc>
          <w:tcPr>
            <w:tcW w:w="2552" w:type="dxa"/>
            <w:gridSpan w:val="2"/>
            <w:shd w:val="clear" w:color="auto" w:fill="auto"/>
          </w:tcPr>
          <w:p w14:paraId="1755E2C7" w14:textId="77777777" w:rsidR="009B0CFC" w:rsidRPr="009B0CFC" w:rsidRDefault="009B0CFC" w:rsidP="00CA62A7">
            <w:pPr>
              <w:rPr>
                <w:sz w:val="20"/>
              </w:rPr>
            </w:pPr>
            <w:r w:rsidRPr="009B0CFC">
              <w:rPr>
                <w:sz w:val="20"/>
              </w:rPr>
              <w:t>Buras et al</w:t>
            </w:r>
            <w:r w:rsidR="00314A79">
              <w:rPr>
                <w:sz w:val="20"/>
              </w:rPr>
              <w:t>.</w:t>
            </w:r>
            <w:r w:rsidRPr="009B0CFC">
              <w:rPr>
                <w:sz w:val="20"/>
              </w:rPr>
              <w:t>, 2014</w:t>
            </w:r>
          </w:p>
        </w:tc>
        <w:tc>
          <w:tcPr>
            <w:tcW w:w="2247" w:type="dxa"/>
            <w:gridSpan w:val="3"/>
            <w:shd w:val="clear" w:color="auto" w:fill="auto"/>
          </w:tcPr>
          <w:p w14:paraId="54E9B845" w14:textId="77777777" w:rsidR="009B0CFC" w:rsidRPr="009B0CFC" w:rsidRDefault="009B0CFC" w:rsidP="00CA62A7">
            <w:pPr>
              <w:rPr>
                <w:sz w:val="20"/>
              </w:rPr>
            </w:pPr>
            <w:r w:rsidRPr="009B0CFC">
              <w:rPr>
                <w:sz w:val="20"/>
              </w:rPr>
              <w:t>PLP-UVA (b)</w:t>
            </w:r>
          </w:p>
        </w:tc>
      </w:tr>
      <w:tr w:rsidR="00FE35EF" w:rsidRPr="001D3940" w14:paraId="7D4E24FD" w14:textId="77777777" w:rsidTr="008D7B6A">
        <w:tc>
          <w:tcPr>
            <w:tcW w:w="3216" w:type="dxa"/>
            <w:shd w:val="clear" w:color="auto" w:fill="auto"/>
          </w:tcPr>
          <w:p w14:paraId="6523B1CB" w14:textId="77777777" w:rsidR="00FE35EF" w:rsidRPr="009B0CFC" w:rsidRDefault="009B62DB" w:rsidP="002874A0">
            <w:pPr>
              <w:rPr>
                <w:sz w:val="20"/>
              </w:rPr>
            </w:pPr>
            <w:r w:rsidRPr="009B62DB">
              <w:rPr>
                <w:i/>
                <w:sz w:val="20"/>
              </w:rPr>
              <w:t>k</w:t>
            </w:r>
            <w:r w:rsidR="002874A0">
              <w:rPr>
                <w:sz w:val="20"/>
                <w:vertAlign w:val="subscript"/>
              </w:rPr>
              <w:t>1</w:t>
            </w:r>
            <w:r>
              <w:rPr>
                <w:sz w:val="20"/>
              </w:rPr>
              <w:t xml:space="preserve"> = 9.0</w:t>
            </w:r>
            <w:r w:rsidR="00FE35EF" w:rsidRPr="009B0CFC">
              <w:rPr>
                <w:sz w:val="20"/>
              </w:rPr>
              <w:t xml:space="preserve"> </w:t>
            </w:r>
            <w:r w:rsidR="00FE35EF" w:rsidRPr="00CA56DB">
              <w:rPr>
                <w:rFonts w:ascii="Symbol" w:eastAsia="Symbol" w:hAnsi="Symbol" w:cs="Symbol"/>
                <w:sz w:val="20"/>
              </w:rPr>
              <w:t></w:t>
            </w:r>
            <w:r w:rsidR="00FE35EF" w:rsidRPr="009B0CFC">
              <w:rPr>
                <w:sz w:val="20"/>
              </w:rPr>
              <w:t xml:space="preserve"> 10</w:t>
            </w:r>
            <w:r w:rsidR="00FE35EF" w:rsidRPr="009B0CFC">
              <w:rPr>
                <w:sz w:val="20"/>
                <w:vertAlign w:val="superscript"/>
              </w:rPr>
              <w:t>-1</w:t>
            </w:r>
            <w:r>
              <w:rPr>
                <w:sz w:val="20"/>
                <w:vertAlign w:val="superscript"/>
              </w:rPr>
              <w:t>2</w:t>
            </w:r>
          </w:p>
        </w:tc>
        <w:tc>
          <w:tcPr>
            <w:tcW w:w="992" w:type="dxa"/>
            <w:shd w:val="clear" w:color="auto" w:fill="auto"/>
          </w:tcPr>
          <w:p w14:paraId="2568B4C1" w14:textId="77777777" w:rsidR="00FE35EF" w:rsidRPr="009B0CFC" w:rsidRDefault="00FE35EF" w:rsidP="003F4605">
            <w:pPr>
              <w:rPr>
                <w:sz w:val="20"/>
              </w:rPr>
            </w:pPr>
            <w:r w:rsidRPr="009B0CFC">
              <w:rPr>
                <w:sz w:val="20"/>
              </w:rPr>
              <w:t>295</w:t>
            </w:r>
          </w:p>
        </w:tc>
        <w:tc>
          <w:tcPr>
            <w:tcW w:w="2552" w:type="dxa"/>
            <w:gridSpan w:val="2"/>
            <w:shd w:val="clear" w:color="auto" w:fill="auto"/>
          </w:tcPr>
          <w:p w14:paraId="3CEB1B31" w14:textId="77777777" w:rsidR="00FE35EF" w:rsidRPr="009B0CFC" w:rsidRDefault="00FE35EF" w:rsidP="003F4605">
            <w:pPr>
              <w:rPr>
                <w:sz w:val="20"/>
              </w:rPr>
            </w:pPr>
            <w:r w:rsidRPr="009B0CFC">
              <w:rPr>
                <w:sz w:val="20"/>
              </w:rPr>
              <w:t>Ting et al</w:t>
            </w:r>
            <w:r w:rsidR="00314A79">
              <w:rPr>
                <w:sz w:val="20"/>
              </w:rPr>
              <w:t>.</w:t>
            </w:r>
            <w:r w:rsidRPr="009B0CFC">
              <w:rPr>
                <w:sz w:val="20"/>
              </w:rPr>
              <w:t>, 2014</w:t>
            </w:r>
          </w:p>
        </w:tc>
        <w:tc>
          <w:tcPr>
            <w:tcW w:w="2247" w:type="dxa"/>
            <w:gridSpan w:val="3"/>
            <w:shd w:val="clear" w:color="auto" w:fill="auto"/>
          </w:tcPr>
          <w:p w14:paraId="227F00CB" w14:textId="77777777" w:rsidR="00FE35EF" w:rsidRPr="009B0CFC" w:rsidRDefault="00FE35EF" w:rsidP="00FE35EF">
            <w:pPr>
              <w:rPr>
                <w:sz w:val="20"/>
              </w:rPr>
            </w:pPr>
            <w:r w:rsidRPr="009B0CFC">
              <w:rPr>
                <w:sz w:val="20"/>
              </w:rPr>
              <w:t>PLP-UVA (</w:t>
            </w:r>
            <w:r>
              <w:rPr>
                <w:sz w:val="20"/>
              </w:rPr>
              <w:t>c</w:t>
            </w:r>
            <w:r w:rsidRPr="009B0CFC">
              <w:rPr>
                <w:sz w:val="20"/>
              </w:rPr>
              <w:t>)</w:t>
            </w:r>
          </w:p>
        </w:tc>
      </w:tr>
      <w:tr w:rsidR="00FE35EF" w:rsidRPr="001D3940" w14:paraId="396EE884" w14:textId="77777777" w:rsidTr="008D7B6A">
        <w:tc>
          <w:tcPr>
            <w:tcW w:w="3216" w:type="dxa"/>
            <w:tcBorders>
              <w:bottom w:val="single" w:sz="4" w:space="0" w:color="auto"/>
            </w:tcBorders>
            <w:shd w:val="clear" w:color="auto" w:fill="auto"/>
          </w:tcPr>
          <w:p w14:paraId="39EDF56C" w14:textId="77777777" w:rsidR="00FE35EF" w:rsidRPr="009B0CFC" w:rsidRDefault="009B62DB" w:rsidP="009B62DB">
            <w:pPr>
              <w:spacing w:after="120"/>
              <w:rPr>
                <w:sz w:val="20"/>
              </w:rPr>
            </w:pPr>
            <w:r w:rsidRPr="009B62DB">
              <w:rPr>
                <w:sz w:val="20"/>
              </w:rPr>
              <w:sym w:font="Symbol" w:char="F03C"/>
            </w:r>
            <w:r w:rsidRPr="009B62DB">
              <w:rPr>
                <w:sz w:val="20"/>
              </w:rPr>
              <w:t xml:space="preserve"> </w:t>
            </w:r>
            <w:r>
              <w:rPr>
                <w:sz w:val="20"/>
              </w:rPr>
              <w:t>5</w:t>
            </w:r>
            <w:r w:rsidR="00FE35EF" w:rsidRPr="009B0CFC">
              <w:rPr>
                <w:sz w:val="20"/>
              </w:rPr>
              <w:t xml:space="preserve"> </w:t>
            </w:r>
            <w:r w:rsidR="00FE35EF" w:rsidRPr="00CA56DB">
              <w:rPr>
                <w:rFonts w:ascii="Symbol" w:eastAsia="Symbol" w:hAnsi="Symbol" w:cs="Symbol"/>
                <w:sz w:val="20"/>
              </w:rPr>
              <w:t></w:t>
            </w:r>
            <w:r w:rsidR="00FE35EF" w:rsidRPr="009B0CFC">
              <w:rPr>
                <w:sz w:val="20"/>
              </w:rPr>
              <w:t xml:space="preserve"> 10</w:t>
            </w:r>
            <w:r w:rsidR="00FE35EF" w:rsidRPr="009B0CFC">
              <w:rPr>
                <w:sz w:val="20"/>
                <w:vertAlign w:val="superscript"/>
              </w:rPr>
              <w:t>-1</w:t>
            </w:r>
            <w:r>
              <w:rPr>
                <w:sz w:val="20"/>
                <w:vertAlign w:val="superscript"/>
              </w:rPr>
              <w:t>2</w:t>
            </w:r>
          </w:p>
        </w:tc>
        <w:tc>
          <w:tcPr>
            <w:tcW w:w="992" w:type="dxa"/>
            <w:tcBorders>
              <w:bottom w:val="single" w:sz="4" w:space="0" w:color="auto"/>
            </w:tcBorders>
            <w:shd w:val="clear" w:color="auto" w:fill="auto"/>
          </w:tcPr>
          <w:p w14:paraId="78ECFF48" w14:textId="77777777" w:rsidR="00FE35EF" w:rsidRPr="009B0CFC" w:rsidRDefault="00FE35EF" w:rsidP="00732673">
            <w:pPr>
              <w:rPr>
                <w:sz w:val="20"/>
              </w:rPr>
            </w:pPr>
            <w:r w:rsidRPr="009B0CFC">
              <w:rPr>
                <w:sz w:val="20"/>
              </w:rPr>
              <w:t>29</w:t>
            </w:r>
            <w:r w:rsidR="00732673">
              <w:rPr>
                <w:sz w:val="20"/>
              </w:rPr>
              <w:t>3</w:t>
            </w:r>
          </w:p>
        </w:tc>
        <w:tc>
          <w:tcPr>
            <w:tcW w:w="2552" w:type="dxa"/>
            <w:gridSpan w:val="2"/>
            <w:tcBorders>
              <w:bottom w:val="single" w:sz="4" w:space="0" w:color="auto"/>
            </w:tcBorders>
            <w:shd w:val="clear" w:color="auto" w:fill="auto"/>
          </w:tcPr>
          <w:p w14:paraId="370A5F33" w14:textId="77777777" w:rsidR="00FE35EF" w:rsidRPr="009B0CFC" w:rsidRDefault="00FE35EF" w:rsidP="003F4605">
            <w:pPr>
              <w:rPr>
                <w:sz w:val="20"/>
              </w:rPr>
            </w:pPr>
            <w:r w:rsidRPr="009B0CFC">
              <w:rPr>
                <w:sz w:val="20"/>
              </w:rPr>
              <w:t>Chhantyal-Pun et</w:t>
            </w:r>
            <w:r>
              <w:rPr>
                <w:sz w:val="20"/>
              </w:rPr>
              <w:t xml:space="preserve"> al., 2015</w:t>
            </w:r>
            <w:r w:rsidRPr="009B0CFC">
              <w:rPr>
                <w:sz w:val="20"/>
              </w:rPr>
              <w:t xml:space="preserve"> </w:t>
            </w:r>
          </w:p>
        </w:tc>
        <w:tc>
          <w:tcPr>
            <w:tcW w:w="2247" w:type="dxa"/>
            <w:gridSpan w:val="3"/>
            <w:tcBorders>
              <w:bottom w:val="single" w:sz="4" w:space="0" w:color="auto"/>
            </w:tcBorders>
            <w:shd w:val="clear" w:color="auto" w:fill="auto"/>
          </w:tcPr>
          <w:p w14:paraId="23F2ECB0" w14:textId="77777777" w:rsidR="00FE35EF" w:rsidRPr="009B0CFC" w:rsidRDefault="00FE35EF" w:rsidP="00FE35EF">
            <w:pPr>
              <w:rPr>
                <w:sz w:val="20"/>
              </w:rPr>
            </w:pPr>
            <w:r w:rsidRPr="009B0CFC">
              <w:rPr>
                <w:sz w:val="20"/>
              </w:rPr>
              <w:t>PLP-CRDS (</w:t>
            </w:r>
            <w:r>
              <w:rPr>
                <w:sz w:val="20"/>
              </w:rPr>
              <w:t>d</w:t>
            </w:r>
            <w:r w:rsidRPr="009B0CFC">
              <w:rPr>
                <w:sz w:val="20"/>
              </w:rPr>
              <w:t>)</w:t>
            </w:r>
          </w:p>
        </w:tc>
      </w:tr>
    </w:tbl>
    <w:p w14:paraId="6EDADBDA" w14:textId="77777777" w:rsidR="00F340B1" w:rsidRPr="001D3940" w:rsidRDefault="00F340B1" w:rsidP="00F340B1">
      <w:pPr>
        <w:tabs>
          <w:tab w:val="center" w:pos="4680"/>
        </w:tabs>
        <w:jc w:val="both"/>
        <w:rPr>
          <w:color w:val="auto"/>
        </w:rPr>
      </w:pPr>
    </w:p>
    <w:p w14:paraId="5D313A79" w14:textId="77777777" w:rsidR="00F340B1" w:rsidRPr="001D3940" w:rsidRDefault="00F340B1" w:rsidP="00F340B1">
      <w:pPr>
        <w:pStyle w:val="Heading5"/>
        <w:rPr>
          <w:color w:val="auto"/>
        </w:rPr>
      </w:pPr>
      <w:r w:rsidRPr="001D3940">
        <w:rPr>
          <w:color w:val="auto"/>
        </w:rPr>
        <w:t>Comments</w:t>
      </w:r>
    </w:p>
    <w:p w14:paraId="449D0C99" w14:textId="77777777" w:rsidR="00F340B1" w:rsidRPr="001D3940" w:rsidRDefault="00F340B1" w:rsidP="00F340B1">
      <w:pPr>
        <w:tabs>
          <w:tab w:val="left" w:pos="-1440"/>
          <w:tab w:val="left" w:pos="-720"/>
          <w:tab w:val="left" w:pos="444"/>
        </w:tabs>
        <w:jc w:val="both"/>
        <w:rPr>
          <w:color w:val="auto"/>
        </w:rPr>
      </w:pPr>
    </w:p>
    <w:p w14:paraId="0EF1FEBE" w14:textId="77777777" w:rsidR="00F63E9B" w:rsidRPr="001D3940" w:rsidRDefault="00F63E9B" w:rsidP="00F63E9B">
      <w:pPr>
        <w:numPr>
          <w:ilvl w:val="0"/>
          <w:numId w:val="3"/>
        </w:numPr>
        <w:tabs>
          <w:tab w:val="left" w:pos="-1440"/>
          <w:tab w:val="left" w:pos="-720"/>
          <w:tab w:val="left" w:pos="426"/>
        </w:tabs>
        <w:jc w:val="both"/>
        <w:rPr>
          <w:spacing w:val="-3"/>
        </w:rPr>
      </w:pPr>
      <w:r>
        <w:t>CH</w:t>
      </w:r>
      <w:r>
        <w:rPr>
          <w:vertAlign w:val="subscript"/>
        </w:rPr>
        <w:t>2</w:t>
      </w:r>
      <w:r>
        <w:t>OO was produced by the reaction of CH</w:t>
      </w:r>
      <w:r>
        <w:rPr>
          <w:vertAlign w:val="subscript"/>
        </w:rPr>
        <w:t>2</w:t>
      </w:r>
      <w:r>
        <w:t>I + O</w:t>
      </w:r>
      <w:r>
        <w:rPr>
          <w:vertAlign w:val="subscript"/>
        </w:rPr>
        <w:t>2</w:t>
      </w:r>
      <w:r>
        <w:t>, following 355nm laser photolysis of CH</w:t>
      </w:r>
      <w:r>
        <w:rPr>
          <w:vertAlign w:val="subscript"/>
        </w:rPr>
        <w:t>2</w:t>
      </w:r>
      <w:r>
        <w:t>I</w:t>
      </w:r>
      <w:r>
        <w:rPr>
          <w:vertAlign w:val="subscript"/>
        </w:rPr>
        <w:t>2</w:t>
      </w:r>
      <w:r>
        <w:t xml:space="preserve"> in a large excess of O</w:t>
      </w:r>
      <w:r>
        <w:rPr>
          <w:vertAlign w:val="subscript"/>
        </w:rPr>
        <w:t>2</w:t>
      </w:r>
      <w:r>
        <w:t>. CH</w:t>
      </w:r>
      <w:r>
        <w:rPr>
          <w:vertAlign w:val="subscript"/>
        </w:rPr>
        <w:t>2</w:t>
      </w:r>
      <w:r>
        <w:t>OO was detected by time-resolved step scan FTIR spectroscopy using absorption coefficients determined in their investigation of the IR spectrum of CH</w:t>
      </w:r>
      <w:r>
        <w:rPr>
          <w:vertAlign w:val="subscript"/>
        </w:rPr>
        <w:t>2</w:t>
      </w:r>
      <w:r>
        <w:t>OO (</w:t>
      </w:r>
      <w:proofErr w:type="spellStart"/>
      <w:r>
        <w:t>Su</w:t>
      </w:r>
      <w:proofErr w:type="spellEnd"/>
      <w:r>
        <w:t xml:space="preserve"> et al., 2013). Kinetic modelling to fit the experimental decay profiles yielded a value of </w:t>
      </w:r>
      <w:proofErr w:type="gramStart"/>
      <w:r>
        <w:rPr>
          <w:i/>
        </w:rPr>
        <w:t>k</w:t>
      </w:r>
      <w:r>
        <w:t>(</w:t>
      </w:r>
      <w:proofErr w:type="gramEnd"/>
      <w:r>
        <w:t>CH</w:t>
      </w:r>
      <w:r>
        <w:rPr>
          <w:vertAlign w:val="subscript"/>
        </w:rPr>
        <w:t>2</w:t>
      </w:r>
      <w:r>
        <w:t xml:space="preserve">OO + I) =  (4 ± 2) </w:t>
      </w:r>
      <w:r w:rsidRPr="006F4FFB">
        <w:rPr>
          <w:rFonts w:ascii="Symbol" w:hAnsi="Symbol" w:cs="Symbol"/>
        </w:rPr>
        <w:t></w:t>
      </w:r>
      <w:r>
        <w:t xml:space="preserve"> 10</w:t>
      </w:r>
      <w:r>
        <w:rPr>
          <w:vertAlign w:val="superscript"/>
        </w:rPr>
        <w:t>-11</w:t>
      </w:r>
      <w:r>
        <w:t xml:space="preserve"> cm</w:t>
      </w:r>
      <w:r>
        <w:rPr>
          <w:vertAlign w:val="superscript"/>
        </w:rPr>
        <w:t>3</w:t>
      </w:r>
      <w:r>
        <w:t xml:space="preserve"> molecule</w:t>
      </w:r>
      <w:r>
        <w:rPr>
          <w:vertAlign w:val="superscript"/>
        </w:rPr>
        <w:t>-1</w:t>
      </w:r>
      <w:r>
        <w:t>s</w:t>
      </w:r>
      <w:r>
        <w:rPr>
          <w:vertAlign w:val="superscript"/>
        </w:rPr>
        <w:t>-1</w:t>
      </w:r>
      <w:r>
        <w:t>.</w:t>
      </w:r>
    </w:p>
    <w:p w14:paraId="74C68800" w14:textId="77777777" w:rsidR="00F63E9B" w:rsidRPr="009B0CFC" w:rsidRDefault="00F63E9B" w:rsidP="00F63E9B">
      <w:pPr>
        <w:numPr>
          <w:ilvl w:val="0"/>
          <w:numId w:val="3"/>
        </w:numPr>
        <w:tabs>
          <w:tab w:val="left" w:pos="-1440"/>
          <w:tab w:val="left" w:pos="-720"/>
        </w:tabs>
        <w:jc w:val="both"/>
      </w:pPr>
      <w:r>
        <w:t>CH</w:t>
      </w:r>
      <w:r>
        <w:rPr>
          <w:vertAlign w:val="subscript"/>
        </w:rPr>
        <w:t>2</w:t>
      </w:r>
      <w:r>
        <w:t>OO was produced by the reaction of CH</w:t>
      </w:r>
      <w:r>
        <w:rPr>
          <w:vertAlign w:val="subscript"/>
        </w:rPr>
        <w:t>2</w:t>
      </w:r>
      <w:r>
        <w:t>I + O</w:t>
      </w:r>
      <w:r>
        <w:rPr>
          <w:vertAlign w:val="subscript"/>
        </w:rPr>
        <w:t>2</w:t>
      </w:r>
      <w:r>
        <w:t xml:space="preserve"> </w:t>
      </w:r>
      <w:r>
        <w:sym w:font="Symbol" w:char="F0AE"/>
      </w:r>
      <w:r>
        <w:t xml:space="preserve"> CH</w:t>
      </w:r>
      <w:r>
        <w:rPr>
          <w:vertAlign w:val="subscript"/>
        </w:rPr>
        <w:t>2</w:t>
      </w:r>
      <w:r>
        <w:t>OO + I following 355 nm laser photolysis of CH</w:t>
      </w:r>
      <w:r>
        <w:rPr>
          <w:vertAlign w:val="subscript"/>
        </w:rPr>
        <w:t>2</w:t>
      </w:r>
      <w:r>
        <w:t>I</w:t>
      </w:r>
      <w:r>
        <w:rPr>
          <w:vertAlign w:val="subscript"/>
        </w:rPr>
        <w:t>2</w:t>
      </w:r>
      <w:r>
        <w:t xml:space="preserve"> in a large excess of O</w:t>
      </w:r>
      <w:r>
        <w:rPr>
          <w:vertAlign w:val="subscript"/>
        </w:rPr>
        <w:t>2</w:t>
      </w:r>
      <w:r>
        <w:t>.  CH</w:t>
      </w:r>
      <w:r>
        <w:rPr>
          <w:vertAlign w:val="subscript"/>
        </w:rPr>
        <w:t>2</w:t>
      </w:r>
      <w:r>
        <w:t xml:space="preserve">OO kinetics was followed by time resolved absorption at 375 nm in the B </w:t>
      </w:r>
      <w:r>
        <w:sym w:font="Symbol" w:char="F0AC"/>
      </w:r>
      <w:r>
        <w:t xml:space="preserve"> X transition and the atomic I co-product followed by probing the 1315.246 nm F = 3 </w:t>
      </w:r>
      <w:r>
        <w:rPr>
          <w:vertAlign w:val="superscript"/>
        </w:rPr>
        <w:t>2</w:t>
      </w:r>
      <w:r>
        <w:t>P</w:t>
      </w:r>
      <w:r>
        <w:rPr>
          <w:vertAlign w:val="subscript"/>
        </w:rPr>
        <w:t>1/2</w:t>
      </w:r>
      <w:r>
        <w:t xml:space="preserve"> ← F = 4 </w:t>
      </w:r>
      <w:r>
        <w:rPr>
          <w:vertAlign w:val="superscript"/>
        </w:rPr>
        <w:t>2</w:t>
      </w:r>
      <w:r>
        <w:t>P</w:t>
      </w:r>
      <w:r>
        <w:rPr>
          <w:vertAlign w:val="subscript"/>
        </w:rPr>
        <w:t xml:space="preserve">3/2 </w:t>
      </w:r>
      <w:r>
        <w:t>atomic transition. [CH</w:t>
      </w:r>
      <w:r>
        <w:rPr>
          <w:vertAlign w:val="subscript"/>
        </w:rPr>
        <w:t>2</w:t>
      </w:r>
      <w:r>
        <w:t>OO]</w:t>
      </w:r>
      <w:r>
        <w:rPr>
          <w:vertAlign w:val="subscript"/>
        </w:rPr>
        <w:t>0</w:t>
      </w:r>
      <w:r>
        <w:t xml:space="preserve"> determined by fitting simultaneous decay of [I] and [CH</w:t>
      </w:r>
      <w:r>
        <w:rPr>
          <w:vertAlign w:val="subscript"/>
        </w:rPr>
        <w:t>2</w:t>
      </w:r>
      <w:r>
        <w:t>OO],</w:t>
      </w:r>
      <w:r>
        <w:rPr>
          <w:vertAlign w:val="subscript"/>
        </w:rPr>
        <w:t xml:space="preserve"> </w:t>
      </w:r>
      <w:r>
        <w:t xml:space="preserve">allowing a determination of the self-reaction rate coefficient, </w:t>
      </w:r>
      <w:proofErr w:type="spellStart"/>
      <w:r>
        <w:rPr>
          <w:i/>
        </w:rPr>
        <w:t>k</w:t>
      </w:r>
      <w:r>
        <w:rPr>
          <w:vertAlign w:val="subscript"/>
        </w:rPr>
        <w:t>self</w:t>
      </w:r>
      <w:proofErr w:type="spellEnd"/>
      <w:r>
        <w:t xml:space="preserve"> with an uncertainty of ± 35%, and an upper limit for </w:t>
      </w:r>
      <w:proofErr w:type="gramStart"/>
      <w:r>
        <w:rPr>
          <w:i/>
        </w:rPr>
        <w:t>k</w:t>
      </w:r>
      <w:r>
        <w:t>(</w:t>
      </w:r>
      <w:proofErr w:type="gramEnd"/>
      <w:r>
        <w:t>CH</w:t>
      </w:r>
      <w:r>
        <w:rPr>
          <w:vertAlign w:val="subscript"/>
        </w:rPr>
        <w:t>2</w:t>
      </w:r>
      <w:r>
        <w:t>OO + I).</w:t>
      </w:r>
    </w:p>
    <w:p w14:paraId="1A64DD58" w14:textId="3B0405DD" w:rsidR="009B0CFC" w:rsidRPr="00FE35EF" w:rsidRDefault="00F63E9B" w:rsidP="00F63E9B">
      <w:pPr>
        <w:numPr>
          <w:ilvl w:val="0"/>
          <w:numId w:val="3"/>
        </w:numPr>
        <w:tabs>
          <w:tab w:val="left" w:pos="-1440"/>
          <w:tab w:val="left" w:pos="-720"/>
        </w:tabs>
        <w:jc w:val="both"/>
        <w:rPr>
          <w:color w:val="auto"/>
        </w:rPr>
      </w:pPr>
      <w:r>
        <w:t>CH</w:t>
      </w:r>
      <w:r>
        <w:rPr>
          <w:vertAlign w:val="subscript"/>
        </w:rPr>
        <w:t>2</w:t>
      </w:r>
      <w:r>
        <w:t>OO was prepared by pulsed 248 nm photolysis of CH</w:t>
      </w:r>
      <w:r>
        <w:rPr>
          <w:vertAlign w:val="subscript"/>
        </w:rPr>
        <w:t>2</w:t>
      </w:r>
      <w:r>
        <w:t>I</w:t>
      </w:r>
      <w:r>
        <w:rPr>
          <w:vertAlign w:val="subscript"/>
        </w:rPr>
        <w:t>2</w:t>
      </w:r>
      <w:r>
        <w:t>/O</w:t>
      </w:r>
      <w:r>
        <w:rPr>
          <w:vertAlign w:val="subscript"/>
        </w:rPr>
        <w:t>2</w:t>
      </w:r>
      <w:r>
        <w:t xml:space="preserve"> mixtures </w:t>
      </w:r>
      <w:r>
        <w:rPr>
          <w:lang w:eastAsia="ja-JP"/>
        </w:rPr>
        <w:t>in the pressure range 10–798 mbar. T</w:t>
      </w:r>
      <w:r>
        <w:t xml:space="preserve">ransient absorption spectra were recorded using a gated intensified CCD camera </w:t>
      </w:r>
      <w:r>
        <w:rPr>
          <w:lang w:eastAsia="ja-JP"/>
        </w:rPr>
        <w:t>to monitor simultaneously CH</w:t>
      </w:r>
      <w:r>
        <w:rPr>
          <w:vertAlign w:val="subscript"/>
          <w:lang w:eastAsia="ja-JP"/>
        </w:rPr>
        <w:t>2</w:t>
      </w:r>
      <w:r>
        <w:rPr>
          <w:lang w:eastAsia="ja-JP"/>
        </w:rPr>
        <w:t>I</w:t>
      </w:r>
      <w:r>
        <w:rPr>
          <w:vertAlign w:val="subscript"/>
          <w:lang w:eastAsia="ja-JP"/>
        </w:rPr>
        <w:t>2</w:t>
      </w:r>
      <w:r>
        <w:rPr>
          <w:lang w:eastAsia="ja-JP"/>
        </w:rPr>
        <w:t>, CH</w:t>
      </w:r>
      <w:r>
        <w:rPr>
          <w:vertAlign w:val="subscript"/>
          <w:lang w:eastAsia="ja-JP"/>
        </w:rPr>
        <w:t>2</w:t>
      </w:r>
      <w:r>
        <w:rPr>
          <w:lang w:eastAsia="ja-JP"/>
        </w:rPr>
        <w:t>OO, CH</w:t>
      </w:r>
      <w:r>
        <w:rPr>
          <w:vertAlign w:val="subscript"/>
          <w:lang w:eastAsia="ja-JP"/>
        </w:rPr>
        <w:t>2</w:t>
      </w:r>
      <w:r>
        <w:rPr>
          <w:lang w:eastAsia="ja-JP"/>
        </w:rPr>
        <w:t>I, and IO in the reaction system. The</w:t>
      </w:r>
      <w:r>
        <w:t xml:space="preserve"> decay of CH</w:t>
      </w:r>
      <w:r>
        <w:rPr>
          <w:vertAlign w:val="subscript"/>
        </w:rPr>
        <w:t>2</w:t>
      </w:r>
      <w:r>
        <w:t xml:space="preserve">OO was second order and various channels, including the self-reaction and the reaction of </w:t>
      </w:r>
      <w:r>
        <w:rPr>
          <w:lang w:eastAsia="ja-JP"/>
        </w:rPr>
        <w:t>CH</w:t>
      </w:r>
      <w:r>
        <w:rPr>
          <w:vertAlign w:val="subscript"/>
          <w:lang w:eastAsia="ja-JP"/>
        </w:rPr>
        <w:t>2</w:t>
      </w:r>
      <w:r>
        <w:rPr>
          <w:lang w:eastAsia="ja-JP"/>
        </w:rPr>
        <w:t>OO + I</w:t>
      </w:r>
      <w:r>
        <w:t xml:space="preserve">, contributing to decay. </w:t>
      </w:r>
      <w:r>
        <w:rPr>
          <w:lang w:eastAsia="ja-JP"/>
        </w:rPr>
        <w:t xml:space="preserve">The rate coefficients </w:t>
      </w:r>
      <w:r>
        <w:t xml:space="preserve">were determined </w:t>
      </w:r>
      <w:r>
        <w:rPr>
          <w:lang w:eastAsia="ja-JP"/>
        </w:rPr>
        <w:t>with a detailed mechanism to model the observed temporal dependences of observed species. The fitted value for formation of IO was independent of pressure. The yield of CH</w:t>
      </w:r>
      <w:r>
        <w:rPr>
          <w:vertAlign w:val="subscript"/>
          <w:lang w:eastAsia="ja-JP"/>
        </w:rPr>
        <w:t>2</w:t>
      </w:r>
      <w:r>
        <w:rPr>
          <w:lang w:eastAsia="ja-JP"/>
        </w:rPr>
        <w:t>OO from CH</w:t>
      </w:r>
      <w:r>
        <w:rPr>
          <w:vertAlign w:val="subscript"/>
          <w:lang w:eastAsia="ja-JP"/>
        </w:rPr>
        <w:t>2</w:t>
      </w:r>
      <w:r>
        <w:rPr>
          <w:lang w:eastAsia="ja-JP"/>
        </w:rPr>
        <w:t>I + O</w:t>
      </w:r>
      <w:r>
        <w:rPr>
          <w:vertAlign w:val="subscript"/>
          <w:lang w:eastAsia="ja-JP"/>
        </w:rPr>
        <w:t>2</w:t>
      </w:r>
      <w:r>
        <w:rPr>
          <w:lang w:eastAsia="ja-JP"/>
        </w:rPr>
        <w:t xml:space="preserve"> was found to have a pressure dependence due to pressure </w:t>
      </w:r>
      <w:proofErr w:type="spellStart"/>
      <w:r>
        <w:rPr>
          <w:lang w:eastAsia="ja-JP"/>
        </w:rPr>
        <w:t>stabilisation</w:t>
      </w:r>
      <w:proofErr w:type="spellEnd"/>
      <w:r>
        <w:rPr>
          <w:lang w:eastAsia="ja-JP"/>
        </w:rPr>
        <w:t xml:space="preserve"> of ICH</w:t>
      </w:r>
      <w:r>
        <w:rPr>
          <w:vertAlign w:val="subscript"/>
          <w:lang w:eastAsia="ja-JP"/>
        </w:rPr>
        <w:t>2</w:t>
      </w:r>
      <w:r>
        <w:rPr>
          <w:lang w:eastAsia="ja-JP"/>
        </w:rPr>
        <w:t>OO* adduct formed in the alternative channel (3); for air at 1 atm., the yield of CH</w:t>
      </w:r>
      <w:r>
        <w:rPr>
          <w:vertAlign w:val="subscript"/>
        </w:rPr>
        <w:t>2</w:t>
      </w:r>
      <w:r>
        <w:rPr>
          <w:lang w:eastAsia="ja-JP"/>
        </w:rPr>
        <w:t>OO was approximately 30 %, which is about twice previous estimates.</w:t>
      </w:r>
    </w:p>
    <w:p w14:paraId="2A8C3058" w14:textId="77777777" w:rsidR="00FE35EF" w:rsidRPr="009B0CFC" w:rsidRDefault="002874A0" w:rsidP="00FE35EF">
      <w:pPr>
        <w:numPr>
          <w:ilvl w:val="0"/>
          <w:numId w:val="3"/>
        </w:numPr>
        <w:tabs>
          <w:tab w:val="left" w:pos="-1440"/>
          <w:tab w:val="left" w:pos="-720"/>
        </w:tabs>
        <w:jc w:val="both"/>
        <w:rPr>
          <w:color w:val="auto"/>
        </w:rPr>
      </w:pPr>
      <w:r>
        <w:t>Cavity ring-down spectroscopy was used to perform kinetic measurements at 293 K under low pressure (7 to 30 Torr) conditions, for reactions of CH</w:t>
      </w:r>
      <w:r>
        <w:rPr>
          <w:vertAlign w:val="subscript"/>
        </w:rPr>
        <w:t>2</w:t>
      </w:r>
      <w:r>
        <w:t>OO generated by (248-nm) laser photolysis of CH</w:t>
      </w:r>
      <w:r>
        <w:rPr>
          <w:vertAlign w:val="subscript"/>
        </w:rPr>
        <w:t>2</w:t>
      </w:r>
      <w:r>
        <w:t>I</w:t>
      </w:r>
      <w:r>
        <w:rPr>
          <w:vertAlign w:val="subscript"/>
        </w:rPr>
        <w:t>2</w:t>
      </w:r>
      <w:r>
        <w:t xml:space="preserve"> in the presence of O</w:t>
      </w:r>
      <w:r>
        <w:rPr>
          <w:vertAlign w:val="subscript"/>
        </w:rPr>
        <w:t>2</w:t>
      </w:r>
      <w:r>
        <w:t>, and monitored by a probe laser at 355 nm. [CH</w:t>
      </w:r>
      <w:r>
        <w:rPr>
          <w:vertAlign w:val="subscript"/>
        </w:rPr>
        <w:t>2</w:t>
      </w:r>
      <w:r>
        <w:t>OO]</w:t>
      </w:r>
      <w:r>
        <w:rPr>
          <w:vertAlign w:val="subscript"/>
        </w:rPr>
        <w:t>0</w:t>
      </w:r>
      <w:r>
        <w:t xml:space="preserve"> ~ 2.5 – 5.0 </w:t>
      </w:r>
      <w:r w:rsidRPr="006F4FFB">
        <w:rPr>
          <w:rFonts w:ascii="Symbol" w:hAnsi="Symbol" w:cs="Symbol"/>
          <w:color w:val="auto"/>
        </w:rPr>
        <w:t></w:t>
      </w:r>
      <w:r>
        <w:t xml:space="preserve"> 10</w:t>
      </w:r>
      <w:r>
        <w:rPr>
          <w:vertAlign w:val="superscript"/>
        </w:rPr>
        <w:t>12</w:t>
      </w:r>
      <w:r>
        <w:t xml:space="preserve"> molecule cm</w:t>
      </w:r>
      <w:r>
        <w:rPr>
          <w:vertAlign w:val="superscript"/>
        </w:rPr>
        <w:t>-3</w:t>
      </w:r>
      <w:r>
        <w:t>.</w:t>
      </w:r>
      <w:r>
        <w:rPr>
          <w:vertAlign w:val="superscript"/>
        </w:rPr>
        <w:t xml:space="preserve"> </w:t>
      </w:r>
      <w:r>
        <w:t xml:space="preserve">Decay was essentially second order and dominated by the self-reaction of </w:t>
      </w:r>
      <w:r>
        <w:lastRenderedPageBreak/>
        <w:t>CH</w:t>
      </w:r>
      <w:r>
        <w:rPr>
          <w:vertAlign w:val="subscript"/>
        </w:rPr>
        <w:t>2</w:t>
      </w:r>
      <w:r>
        <w:t>OO. Estimation of the upper limit of rate coefficient for the reaction CH</w:t>
      </w:r>
      <w:r>
        <w:rPr>
          <w:vertAlign w:val="subscript"/>
        </w:rPr>
        <w:t>2</w:t>
      </w:r>
      <w:r>
        <w:t>OO + I was obtained by numerical simulation of decay traces at lowest pressure, where there was minimal contribution from pressure dependent reactions, e.g. CH</w:t>
      </w:r>
      <w:r>
        <w:rPr>
          <w:vertAlign w:val="subscript"/>
        </w:rPr>
        <w:t>2</w:t>
      </w:r>
      <w:r>
        <w:t xml:space="preserve">OO + I (+ M) </w:t>
      </w:r>
      <w:r>
        <w:sym w:font="Symbol" w:char="F0AE"/>
      </w:r>
      <w:r>
        <w:t xml:space="preserve"> ICH</w:t>
      </w:r>
      <w:r>
        <w:rPr>
          <w:vertAlign w:val="subscript"/>
        </w:rPr>
        <w:t>2</w:t>
      </w:r>
      <w:r>
        <w:t>OO (+ M). The upper limit values cited are based on the value where the goodness of fit to experimental data starts to deteriorate.</w:t>
      </w:r>
    </w:p>
    <w:p w14:paraId="5F275C5C" w14:textId="77777777" w:rsidR="00263004" w:rsidRPr="00CA56DB" w:rsidRDefault="00263004" w:rsidP="008D7B6A">
      <w:pPr>
        <w:tabs>
          <w:tab w:val="left" w:pos="-1440"/>
          <w:tab w:val="left" w:pos="-720"/>
        </w:tabs>
        <w:ind w:left="360"/>
        <w:jc w:val="both"/>
        <w:rPr>
          <w:color w:val="auto"/>
        </w:rPr>
      </w:pPr>
    </w:p>
    <w:p w14:paraId="040F1EB3" w14:textId="77777777" w:rsidR="00ED24D0" w:rsidRDefault="00ED24D0">
      <w:pPr>
        <w:tabs>
          <w:tab w:val="left" w:pos="-1440"/>
          <w:tab w:val="left" w:pos="-720"/>
          <w:tab w:val="left" w:pos="444"/>
        </w:tabs>
        <w:jc w:val="both"/>
      </w:pPr>
    </w:p>
    <w:p w14:paraId="5319745F" w14:textId="77777777" w:rsidR="00796BA6" w:rsidRPr="001D3940" w:rsidRDefault="00796BA6" w:rsidP="00796BA6">
      <w:pPr>
        <w:pStyle w:val="Heading5"/>
        <w:tabs>
          <w:tab w:val="clear" w:pos="4867"/>
          <w:tab w:val="clear" w:pos="7982"/>
          <w:tab w:val="clear" w:pos="8395"/>
          <w:tab w:val="clear" w:pos="8812"/>
        </w:tabs>
        <w:rPr>
          <w:color w:val="auto"/>
        </w:rPr>
      </w:pPr>
      <w:r w:rsidRPr="001D3940">
        <w:rPr>
          <w:color w:val="auto"/>
        </w:rPr>
        <w:t>Preferred Values</w:t>
      </w:r>
    </w:p>
    <w:p w14:paraId="129234F6" w14:textId="77777777" w:rsidR="00796BA6" w:rsidRPr="001D3940" w:rsidRDefault="00796BA6" w:rsidP="00796BA6">
      <w:pPr>
        <w:tabs>
          <w:tab w:val="left" w:pos="-1440"/>
          <w:tab w:val="left" w:pos="-720"/>
          <w:tab w:val="left" w:pos="444"/>
        </w:tabs>
        <w:jc w:val="both"/>
        <w:rPr>
          <w:color w:val="auto"/>
        </w:rPr>
      </w:pPr>
    </w:p>
    <w:tbl>
      <w:tblPr>
        <w:tblW w:w="0" w:type="auto"/>
        <w:tblInd w:w="454" w:type="dxa"/>
        <w:tblLayout w:type="fixed"/>
        <w:tblLook w:val="0000" w:firstRow="0" w:lastRow="0" w:firstColumn="0" w:lastColumn="0" w:noHBand="0" w:noVBand="0"/>
      </w:tblPr>
      <w:tblGrid>
        <w:gridCol w:w="3100"/>
        <w:gridCol w:w="3430"/>
        <w:gridCol w:w="1992"/>
      </w:tblGrid>
      <w:tr w:rsidR="00796BA6" w:rsidRPr="001D3940" w14:paraId="2A33959C" w14:textId="77777777" w:rsidTr="00CA62A7">
        <w:tc>
          <w:tcPr>
            <w:tcW w:w="3100" w:type="dxa"/>
            <w:tcBorders>
              <w:top w:val="single" w:sz="4" w:space="0" w:color="000000"/>
              <w:bottom w:val="single" w:sz="4" w:space="0" w:color="000000"/>
            </w:tcBorders>
            <w:shd w:val="clear" w:color="auto" w:fill="auto"/>
          </w:tcPr>
          <w:p w14:paraId="0E0669AF" w14:textId="77777777" w:rsidR="00796BA6" w:rsidRPr="001D3940" w:rsidRDefault="00796BA6" w:rsidP="00CA62A7">
            <w:pPr>
              <w:tabs>
                <w:tab w:val="left" w:pos="0"/>
                <w:tab w:val="left" w:pos="444"/>
                <w:tab w:val="left" w:pos="720"/>
              </w:tabs>
              <w:spacing w:line="240" w:lineRule="atLeast"/>
              <w:jc w:val="center"/>
              <w:rPr>
                <w:b/>
                <w:color w:val="auto"/>
                <w:spacing w:val="-3"/>
                <w:szCs w:val="24"/>
              </w:rPr>
            </w:pPr>
            <w:r w:rsidRPr="001D3940">
              <w:rPr>
                <w:b/>
                <w:color w:val="auto"/>
                <w:spacing w:val="-3"/>
                <w:szCs w:val="24"/>
              </w:rPr>
              <w:t>Parameter</w:t>
            </w:r>
          </w:p>
        </w:tc>
        <w:tc>
          <w:tcPr>
            <w:tcW w:w="3430" w:type="dxa"/>
            <w:tcBorders>
              <w:top w:val="single" w:sz="4" w:space="0" w:color="000000"/>
              <w:bottom w:val="single" w:sz="4" w:space="0" w:color="000000"/>
            </w:tcBorders>
            <w:shd w:val="clear" w:color="auto" w:fill="auto"/>
          </w:tcPr>
          <w:p w14:paraId="27110769" w14:textId="77777777" w:rsidR="00796BA6" w:rsidRPr="001D3940" w:rsidRDefault="00796BA6" w:rsidP="00CA62A7">
            <w:pPr>
              <w:tabs>
                <w:tab w:val="left" w:pos="0"/>
                <w:tab w:val="left" w:pos="444"/>
                <w:tab w:val="left" w:pos="720"/>
              </w:tabs>
              <w:spacing w:line="240" w:lineRule="atLeast"/>
              <w:jc w:val="center"/>
              <w:rPr>
                <w:b/>
                <w:color w:val="auto"/>
                <w:spacing w:val="-3"/>
                <w:szCs w:val="24"/>
              </w:rPr>
            </w:pPr>
            <w:r w:rsidRPr="001D3940">
              <w:rPr>
                <w:b/>
                <w:color w:val="auto"/>
                <w:spacing w:val="-3"/>
                <w:szCs w:val="24"/>
              </w:rPr>
              <w:t>Value</w:t>
            </w:r>
          </w:p>
        </w:tc>
        <w:tc>
          <w:tcPr>
            <w:tcW w:w="1992" w:type="dxa"/>
            <w:tcBorders>
              <w:top w:val="single" w:sz="4" w:space="0" w:color="000000"/>
              <w:bottom w:val="single" w:sz="4" w:space="0" w:color="000000"/>
            </w:tcBorders>
            <w:shd w:val="clear" w:color="auto" w:fill="auto"/>
          </w:tcPr>
          <w:p w14:paraId="535620C2" w14:textId="77777777" w:rsidR="00796BA6" w:rsidRPr="001D3940" w:rsidRDefault="00796BA6" w:rsidP="00CA62A7">
            <w:pPr>
              <w:tabs>
                <w:tab w:val="left" w:pos="0"/>
                <w:tab w:val="left" w:pos="444"/>
                <w:tab w:val="left" w:pos="720"/>
              </w:tabs>
              <w:spacing w:line="240" w:lineRule="atLeast"/>
              <w:jc w:val="center"/>
              <w:rPr>
                <w:color w:val="auto"/>
              </w:rPr>
            </w:pPr>
            <w:r w:rsidRPr="001D3940">
              <w:rPr>
                <w:b/>
                <w:color w:val="auto"/>
                <w:spacing w:val="-3"/>
                <w:szCs w:val="24"/>
              </w:rPr>
              <w:t>T/K</w:t>
            </w:r>
          </w:p>
        </w:tc>
      </w:tr>
      <w:tr w:rsidR="00796BA6" w:rsidRPr="001D3940" w14:paraId="5266C595" w14:textId="77777777" w:rsidTr="00CA62A7">
        <w:tc>
          <w:tcPr>
            <w:tcW w:w="3100" w:type="dxa"/>
            <w:tcBorders>
              <w:top w:val="single" w:sz="4" w:space="0" w:color="000000"/>
            </w:tcBorders>
            <w:shd w:val="clear" w:color="auto" w:fill="auto"/>
          </w:tcPr>
          <w:p w14:paraId="17FF4110" w14:textId="77777777" w:rsidR="00796BA6" w:rsidRPr="001D3940" w:rsidRDefault="00796BA6" w:rsidP="00CA62A7">
            <w:pPr>
              <w:tabs>
                <w:tab w:val="left" w:pos="0"/>
                <w:tab w:val="left" w:pos="444"/>
                <w:tab w:val="left" w:pos="720"/>
              </w:tabs>
              <w:snapToGrid w:val="0"/>
              <w:spacing w:line="240" w:lineRule="atLeast"/>
              <w:jc w:val="center"/>
              <w:rPr>
                <w:i/>
                <w:color w:val="auto"/>
                <w:spacing w:val="-3"/>
                <w:szCs w:val="24"/>
              </w:rPr>
            </w:pPr>
          </w:p>
        </w:tc>
        <w:tc>
          <w:tcPr>
            <w:tcW w:w="3430" w:type="dxa"/>
            <w:tcBorders>
              <w:top w:val="single" w:sz="4" w:space="0" w:color="000000"/>
            </w:tcBorders>
            <w:shd w:val="clear" w:color="auto" w:fill="auto"/>
          </w:tcPr>
          <w:p w14:paraId="366FCFEA" w14:textId="77777777" w:rsidR="00796BA6" w:rsidRPr="001D3940" w:rsidRDefault="00796BA6" w:rsidP="00CA62A7">
            <w:pPr>
              <w:tabs>
                <w:tab w:val="left" w:pos="0"/>
                <w:tab w:val="left" w:pos="444"/>
                <w:tab w:val="left" w:pos="720"/>
              </w:tabs>
              <w:snapToGrid w:val="0"/>
              <w:spacing w:line="240" w:lineRule="atLeast"/>
              <w:rPr>
                <w:color w:val="auto"/>
                <w:spacing w:val="-3"/>
                <w:szCs w:val="24"/>
              </w:rPr>
            </w:pPr>
          </w:p>
        </w:tc>
        <w:tc>
          <w:tcPr>
            <w:tcW w:w="1992" w:type="dxa"/>
            <w:tcBorders>
              <w:top w:val="single" w:sz="4" w:space="0" w:color="000000"/>
            </w:tcBorders>
            <w:shd w:val="clear" w:color="auto" w:fill="auto"/>
          </w:tcPr>
          <w:p w14:paraId="7A881A52" w14:textId="77777777" w:rsidR="00796BA6" w:rsidRPr="001D3940" w:rsidRDefault="00796BA6" w:rsidP="00CA62A7">
            <w:pPr>
              <w:tabs>
                <w:tab w:val="left" w:pos="0"/>
                <w:tab w:val="left" w:pos="444"/>
                <w:tab w:val="left" w:pos="720"/>
              </w:tabs>
              <w:snapToGrid w:val="0"/>
              <w:spacing w:line="240" w:lineRule="atLeast"/>
              <w:jc w:val="center"/>
              <w:rPr>
                <w:color w:val="auto"/>
                <w:spacing w:val="-3"/>
                <w:szCs w:val="24"/>
              </w:rPr>
            </w:pPr>
          </w:p>
        </w:tc>
      </w:tr>
      <w:tr w:rsidR="00796BA6" w:rsidRPr="001D3940" w14:paraId="5E4EFA7F" w14:textId="77777777" w:rsidTr="00CA62A7">
        <w:tc>
          <w:tcPr>
            <w:tcW w:w="3100" w:type="dxa"/>
            <w:shd w:val="clear" w:color="auto" w:fill="auto"/>
          </w:tcPr>
          <w:p w14:paraId="4BB6C077" w14:textId="77777777" w:rsidR="00796BA6" w:rsidRPr="001D3940" w:rsidRDefault="00796BA6" w:rsidP="002874A0">
            <w:pPr>
              <w:tabs>
                <w:tab w:val="left" w:pos="0"/>
                <w:tab w:val="left" w:pos="444"/>
                <w:tab w:val="left" w:pos="720"/>
              </w:tabs>
              <w:spacing w:line="240" w:lineRule="atLeast"/>
              <w:jc w:val="center"/>
              <w:rPr>
                <w:color w:val="auto"/>
                <w:spacing w:val="-3"/>
              </w:rPr>
            </w:pPr>
            <w:r w:rsidRPr="001D3940">
              <w:rPr>
                <w:i/>
                <w:color w:val="auto"/>
                <w:spacing w:val="-3"/>
                <w:szCs w:val="24"/>
              </w:rPr>
              <w:t>k</w:t>
            </w:r>
            <w:r w:rsidR="002874A0">
              <w:rPr>
                <w:color w:val="auto"/>
                <w:spacing w:val="-3"/>
                <w:szCs w:val="24"/>
                <w:vertAlign w:val="subscript"/>
              </w:rPr>
              <w:t>1</w:t>
            </w:r>
            <w:r w:rsidRPr="001D3940">
              <w:rPr>
                <w:color w:val="auto"/>
                <w:spacing w:val="-3"/>
                <w:szCs w:val="24"/>
              </w:rPr>
              <w:t xml:space="preserve"> /cm</w:t>
            </w:r>
            <w:r w:rsidRPr="001D3940">
              <w:rPr>
                <w:color w:val="auto"/>
                <w:spacing w:val="-3"/>
                <w:szCs w:val="24"/>
                <w:vertAlign w:val="superscript"/>
              </w:rPr>
              <w:t>3</w:t>
            </w:r>
            <w:r w:rsidRPr="001D3940">
              <w:rPr>
                <w:color w:val="auto"/>
                <w:spacing w:val="-3"/>
                <w:szCs w:val="24"/>
              </w:rPr>
              <w:t xml:space="preserve"> molecule</w:t>
            </w:r>
            <w:r w:rsidRPr="001D3940">
              <w:rPr>
                <w:color w:val="auto"/>
                <w:spacing w:val="-3"/>
                <w:szCs w:val="24"/>
                <w:vertAlign w:val="superscript"/>
              </w:rPr>
              <w:t>-1</w:t>
            </w:r>
            <w:r w:rsidRPr="001D3940">
              <w:rPr>
                <w:color w:val="auto"/>
                <w:spacing w:val="-3"/>
                <w:szCs w:val="24"/>
              </w:rPr>
              <w:t xml:space="preserve"> s</w:t>
            </w:r>
            <w:r w:rsidRPr="001D3940">
              <w:rPr>
                <w:color w:val="auto"/>
                <w:spacing w:val="-3"/>
                <w:szCs w:val="24"/>
                <w:vertAlign w:val="superscript"/>
              </w:rPr>
              <w:t>-1</w:t>
            </w:r>
          </w:p>
        </w:tc>
        <w:tc>
          <w:tcPr>
            <w:tcW w:w="3430" w:type="dxa"/>
            <w:shd w:val="clear" w:color="auto" w:fill="auto"/>
          </w:tcPr>
          <w:p w14:paraId="3D027F2E" w14:textId="77777777" w:rsidR="00796BA6" w:rsidRPr="001D3940" w:rsidRDefault="002874A0" w:rsidP="002874A0">
            <w:pPr>
              <w:tabs>
                <w:tab w:val="left" w:pos="0"/>
                <w:tab w:val="left" w:pos="444"/>
                <w:tab w:val="left" w:pos="720"/>
              </w:tabs>
              <w:spacing w:line="240" w:lineRule="atLeast"/>
              <w:rPr>
                <w:color w:val="auto"/>
                <w:spacing w:val="-3"/>
                <w:szCs w:val="24"/>
              </w:rPr>
            </w:pPr>
            <w:r>
              <w:t>9.0</w:t>
            </w:r>
            <w:r w:rsidR="00796BA6">
              <w:t xml:space="preserve"> </w:t>
            </w:r>
            <w:r w:rsidR="00796BA6" w:rsidRPr="001D3940">
              <w:rPr>
                <w:rFonts w:ascii="Symbol" w:hAnsi="Symbol" w:cs="Symbol"/>
                <w:color w:val="auto"/>
              </w:rPr>
              <w:t></w:t>
            </w:r>
            <w:r w:rsidR="00796BA6">
              <w:t xml:space="preserve"> 10</w:t>
            </w:r>
            <w:r w:rsidR="00796BA6">
              <w:rPr>
                <w:vertAlign w:val="superscript"/>
              </w:rPr>
              <w:t>-1</w:t>
            </w:r>
            <w:r>
              <w:rPr>
                <w:vertAlign w:val="superscript"/>
              </w:rPr>
              <w:t>2</w:t>
            </w:r>
          </w:p>
        </w:tc>
        <w:tc>
          <w:tcPr>
            <w:tcW w:w="1992" w:type="dxa"/>
            <w:shd w:val="clear" w:color="auto" w:fill="auto"/>
          </w:tcPr>
          <w:p w14:paraId="23D5DB68" w14:textId="77777777" w:rsidR="00796BA6" w:rsidRPr="001D3940" w:rsidRDefault="00796BA6" w:rsidP="00CA62A7">
            <w:pPr>
              <w:tabs>
                <w:tab w:val="left" w:pos="0"/>
                <w:tab w:val="left" w:pos="444"/>
                <w:tab w:val="left" w:pos="720"/>
              </w:tabs>
              <w:spacing w:line="240" w:lineRule="atLeast"/>
              <w:jc w:val="center"/>
              <w:rPr>
                <w:color w:val="auto"/>
              </w:rPr>
            </w:pPr>
            <w:r w:rsidRPr="001D3940">
              <w:rPr>
                <w:color w:val="auto"/>
                <w:spacing w:val="-3"/>
                <w:szCs w:val="24"/>
              </w:rPr>
              <w:t>298</w:t>
            </w:r>
          </w:p>
        </w:tc>
      </w:tr>
    </w:tbl>
    <w:p w14:paraId="16ECD28D" w14:textId="77777777" w:rsidR="00796BA6" w:rsidRPr="001D3940" w:rsidRDefault="00796BA6" w:rsidP="00796BA6">
      <w:pPr>
        <w:tabs>
          <w:tab w:val="left" w:pos="0"/>
          <w:tab w:val="left" w:pos="444"/>
          <w:tab w:val="left" w:pos="720"/>
        </w:tabs>
        <w:spacing w:line="240" w:lineRule="atLeast"/>
        <w:jc w:val="both"/>
        <w:rPr>
          <w:color w:val="auto"/>
        </w:rPr>
      </w:pPr>
    </w:p>
    <w:p w14:paraId="16561ABB" w14:textId="77777777" w:rsidR="00796BA6" w:rsidRPr="001D3940" w:rsidRDefault="00796BA6" w:rsidP="00796BA6">
      <w:pPr>
        <w:tabs>
          <w:tab w:val="left" w:pos="0"/>
          <w:tab w:val="left" w:pos="444"/>
          <w:tab w:val="left" w:pos="720"/>
        </w:tabs>
        <w:spacing w:line="240" w:lineRule="atLeast"/>
        <w:jc w:val="both"/>
        <w:rPr>
          <w:rFonts w:ascii="Symbol" w:hAnsi="Symbol"/>
          <w:color w:val="auto"/>
          <w:spacing w:val="-3"/>
          <w:szCs w:val="24"/>
        </w:rPr>
      </w:pPr>
      <w:r w:rsidRPr="001D3940">
        <w:rPr>
          <w:i/>
          <w:color w:val="auto"/>
          <w:spacing w:val="-3"/>
          <w:szCs w:val="24"/>
        </w:rPr>
        <w:t>Reliability</w:t>
      </w:r>
    </w:p>
    <w:tbl>
      <w:tblPr>
        <w:tblW w:w="0" w:type="auto"/>
        <w:tblInd w:w="454" w:type="dxa"/>
        <w:tblLayout w:type="fixed"/>
        <w:tblLook w:val="0000" w:firstRow="0" w:lastRow="0" w:firstColumn="0" w:lastColumn="0" w:noHBand="0" w:noVBand="0"/>
      </w:tblPr>
      <w:tblGrid>
        <w:gridCol w:w="3056"/>
        <w:gridCol w:w="3455"/>
        <w:gridCol w:w="2011"/>
      </w:tblGrid>
      <w:tr w:rsidR="00796BA6" w:rsidRPr="001D3940" w14:paraId="1B90DBA7" w14:textId="77777777" w:rsidTr="00CA62A7">
        <w:tc>
          <w:tcPr>
            <w:tcW w:w="3056" w:type="dxa"/>
            <w:tcBorders>
              <w:bottom w:val="single" w:sz="4" w:space="0" w:color="auto"/>
            </w:tcBorders>
            <w:shd w:val="clear" w:color="auto" w:fill="auto"/>
          </w:tcPr>
          <w:p w14:paraId="004C318F" w14:textId="77777777" w:rsidR="00796BA6" w:rsidRPr="001D3940" w:rsidRDefault="00796BA6" w:rsidP="00CA62A7">
            <w:pPr>
              <w:tabs>
                <w:tab w:val="left" w:pos="0"/>
                <w:tab w:val="left" w:pos="444"/>
                <w:tab w:val="left" w:pos="720"/>
              </w:tabs>
              <w:spacing w:after="120" w:line="240" w:lineRule="atLeast"/>
              <w:jc w:val="center"/>
              <w:rPr>
                <w:color w:val="auto"/>
                <w:spacing w:val="-3"/>
                <w:szCs w:val="24"/>
              </w:rPr>
            </w:pPr>
            <w:r w:rsidRPr="001D3940">
              <w:rPr>
                <w:rFonts w:ascii="Symbol" w:hAnsi="Symbol"/>
                <w:color w:val="auto"/>
                <w:spacing w:val="-3"/>
                <w:szCs w:val="24"/>
              </w:rPr>
              <w:t></w:t>
            </w:r>
            <w:r w:rsidRPr="001D3940">
              <w:rPr>
                <w:color w:val="auto"/>
                <w:spacing w:val="-3"/>
                <w:szCs w:val="24"/>
              </w:rPr>
              <w:t xml:space="preserve"> log</w:t>
            </w:r>
            <w:r w:rsidRPr="001D3940">
              <w:rPr>
                <w:i/>
                <w:color w:val="auto"/>
                <w:spacing w:val="-3"/>
                <w:szCs w:val="24"/>
              </w:rPr>
              <w:t xml:space="preserve"> k</w:t>
            </w:r>
          </w:p>
        </w:tc>
        <w:tc>
          <w:tcPr>
            <w:tcW w:w="3455" w:type="dxa"/>
            <w:tcBorders>
              <w:bottom w:val="single" w:sz="4" w:space="0" w:color="auto"/>
            </w:tcBorders>
            <w:shd w:val="clear" w:color="auto" w:fill="auto"/>
          </w:tcPr>
          <w:p w14:paraId="0615E237" w14:textId="77777777" w:rsidR="00796BA6" w:rsidRPr="001D3940" w:rsidRDefault="00796BA6" w:rsidP="002874A0">
            <w:pPr>
              <w:tabs>
                <w:tab w:val="left" w:pos="0"/>
                <w:tab w:val="left" w:pos="444"/>
                <w:tab w:val="left" w:pos="720"/>
              </w:tabs>
              <w:spacing w:after="120" w:line="240" w:lineRule="atLeast"/>
              <w:rPr>
                <w:color w:val="auto"/>
                <w:spacing w:val="-3"/>
                <w:szCs w:val="24"/>
              </w:rPr>
            </w:pPr>
            <w:r w:rsidRPr="001D3940">
              <w:rPr>
                <w:color w:val="auto"/>
                <w:spacing w:val="-3"/>
                <w:szCs w:val="24"/>
              </w:rPr>
              <w:t>± 0.</w:t>
            </w:r>
            <w:r w:rsidR="002874A0">
              <w:rPr>
                <w:color w:val="auto"/>
                <w:spacing w:val="-3"/>
                <w:szCs w:val="24"/>
              </w:rPr>
              <w:t>3</w:t>
            </w:r>
          </w:p>
        </w:tc>
        <w:tc>
          <w:tcPr>
            <w:tcW w:w="2011" w:type="dxa"/>
            <w:tcBorders>
              <w:bottom w:val="single" w:sz="4" w:space="0" w:color="auto"/>
            </w:tcBorders>
            <w:shd w:val="clear" w:color="auto" w:fill="auto"/>
          </w:tcPr>
          <w:p w14:paraId="1094125B" w14:textId="77777777" w:rsidR="00796BA6" w:rsidRPr="001D3940" w:rsidRDefault="00796BA6" w:rsidP="00CA62A7">
            <w:pPr>
              <w:tabs>
                <w:tab w:val="left" w:pos="0"/>
                <w:tab w:val="left" w:pos="444"/>
                <w:tab w:val="left" w:pos="720"/>
              </w:tabs>
              <w:spacing w:after="120" w:line="240" w:lineRule="atLeast"/>
              <w:jc w:val="center"/>
              <w:rPr>
                <w:color w:val="auto"/>
              </w:rPr>
            </w:pPr>
            <w:r w:rsidRPr="001D3940">
              <w:rPr>
                <w:color w:val="auto"/>
                <w:spacing w:val="-3"/>
                <w:szCs w:val="24"/>
              </w:rPr>
              <w:t>298</w:t>
            </w:r>
          </w:p>
        </w:tc>
      </w:tr>
    </w:tbl>
    <w:p w14:paraId="1F4757DF" w14:textId="77777777" w:rsidR="00796BA6" w:rsidRPr="0085481F" w:rsidRDefault="00796BA6" w:rsidP="00796BA6">
      <w:pPr>
        <w:numPr>
          <w:ilvl w:val="0"/>
          <w:numId w:val="2"/>
        </w:numPr>
        <w:tabs>
          <w:tab w:val="left" w:pos="-1440"/>
          <w:tab w:val="left" w:pos="-720"/>
          <w:tab w:val="left" w:pos="444"/>
        </w:tabs>
        <w:jc w:val="both"/>
        <w:rPr>
          <w:color w:val="auto"/>
        </w:rPr>
      </w:pPr>
    </w:p>
    <w:p w14:paraId="0F02B8B4" w14:textId="77777777" w:rsidR="0085481F" w:rsidRPr="0085481F" w:rsidRDefault="0085481F" w:rsidP="00ED24D0">
      <w:pPr>
        <w:numPr>
          <w:ilvl w:val="0"/>
          <w:numId w:val="2"/>
        </w:numPr>
        <w:tabs>
          <w:tab w:val="left" w:pos="-1440"/>
          <w:tab w:val="left" w:pos="-720"/>
          <w:tab w:val="left" w:pos="444"/>
        </w:tabs>
        <w:jc w:val="both"/>
        <w:rPr>
          <w:color w:val="auto"/>
        </w:rPr>
      </w:pPr>
    </w:p>
    <w:p w14:paraId="76749370" w14:textId="77777777" w:rsidR="00ED24D0" w:rsidRPr="001D3940" w:rsidRDefault="00ED24D0" w:rsidP="00ED24D0">
      <w:pPr>
        <w:numPr>
          <w:ilvl w:val="0"/>
          <w:numId w:val="2"/>
        </w:numPr>
        <w:tabs>
          <w:tab w:val="left" w:pos="-1440"/>
          <w:tab w:val="left" w:pos="-720"/>
          <w:tab w:val="left" w:pos="444"/>
        </w:tabs>
        <w:jc w:val="both"/>
        <w:rPr>
          <w:color w:val="auto"/>
        </w:rPr>
      </w:pPr>
      <w:r w:rsidRPr="001D3940">
        <w:rPr>
          <w:i/>
          <w:color w:val="auto"/>
        </w:rPr>
        <w:t>Comments on Preferred Values</w:t>
      </w:r>
    </w:p>
    <w:p w14:paraId="7149212A" w14:textId="77777777" w:rsidR="002D26FD" w:rsidRDefault="002874A0" w:rsidP="002D26FD">
      <w:pPr>
        <w:tabs>
          <w:tab w:val="left" w:pos="-1440"/>
          <w:tab w:val="left" w:pos="-720"/>
          <w:tab w:val="left" w:pos="444"/>
        </w:tabs>
        <w:ind w:firstLine="444"/>
        <w:jc w:val="both"/>
      </w:pPr>
      <w:r>
        <w:t xml:space="preserve">When </w:t>
      </w:r>
      <w:r>
        <w:rPr>
          <w:lang w:eastAsia="ja-JP"/>
        </w:rPr>
        <w:t>the reaction of CH</w:t>
      </w:r>
      <w:r>
        <w:rPr>
          <w:vertAlign w:val="subscript"/>
          <w:lang w:eastAsia="ja-JP"/>
        </w:rPr>
        <w:t>2</w:t>
      </w:r>
      <w:r>
        <w:rPr>
          <w:lang w:eastAsia="ja-JP"/>
        </w:rPr>
        <w:t>I with O</w:t>
      </w:r>
      <w:r>
        <w:rPr>
          <w:vertAlign w:val="subscript"/>
          <w:lang w:eastAsia="ja-JP"/>
        </w:rPr>
        <w:t>2</w:t>
      </w:r>
      <w:r>
        <w:rPr>
          <w:lang w:eastAsia="ja-JP"/>
        </w:rPr>
        <w:t xml:space="preserve"> is used as a source of CH</w:t>
      </w:r>
      <w:r>
        <w:rPr>
          <w:vertAlign w:val="subscript"/>
          <w:lang w:eastAsia="ja-JP"/>
        </w:rPr>
        <w:t>2</w:t>
      </w:r>
      <w:r>
        <w:rPr>
          <w:lang w:eastAsia="ja-JP"/>
        </w:rPr>
        <w:t xml:space="preserve">OO, secondary chemistry results, requiring simulations with a complex kinetic scheme to extract the rate coefficients of interest. The reported upper limit values of </w:t>
      </w:r>
      <w:r>
        <w:rPr>
          <w:i/>
          <w:lang w:eastAsia="ja-JP"/>
        </w:rPr>
        <w:t>k</w:t>
      </w:r>
      <w:r>
        <w:rPr>
          <w:lang w:eastAsia="ja-JP"/>
        </w:rPr>
        <w:t xml:space="preserve"> reported by Buras et al</w:t>
      </w:r>
      <w:r w:rsidR="00FF27F6">
        <w:rPr>
          <w:lang w:eastAsia="ja-JP"/>
        </w:rPr>
        <w:t>.</w:t>
      </w:r>
      <w:r>
        <w:rPr>
          <w:lang w:eastAsia="ja-JP"/>
        </w:rPr>
        <w:t xml:space="preserve"> (2014) and Chhantyal-Pun, et al. (2015) and the value of Ting et al</w:t>
      </w:r>
      <w:r w:rsidR="00217F20">
        <w:rPr>
          <w:lang w:eastAsia="ja-JP"/>
        </w:rPr>
        <w:t>.</w:t>
      </w:r>
      <w:r>
        <w:rPr>
          <w:lang w:eastAsia="ja-JP"/>
        </w:rPr>
        <w:t xml:space="preserve"> (2014), who all used time-resolved UV absorption spectroscopy to determine CH</w:t>
      </w:r>
      <w:r>
        <w:rPr>
          <w:vertAlign w:val="subscript"/>
          <w:lang w:eastAsia="ja-JP"/>
        </w:rPr>
        <w:t>2</w:t>
      </w:r>
      <w:r>
        <w:rPr>
          <w:lang w:eastAsia="ja-JP"/>
        </w:rPr>
        <w:t>OO kinetics, are consistent within the error limits. The value reported by Su et al. (2</w:t>
      </w:r>
      <w:r w:rsidR="00314A79">
        <w:rPr>
          <w:lang w:eastAsia="ja-JP"/>
        </w:rPr>
        <w:t>01</w:t>
      </w:r>
      <w:r>
        <w:rPr>
          <w:lang w:eastAsia="ja-JP"/>
        </w:rPr>
        <w:t>4) using the less sensitive IR detection to monitor CH</w:t>
      </w:r>
      <w:r>
        <w:rPr>
          <w:vertAlign w:val="subscript"/>
          <w:lang w:eastAsia="ja-JP"/>
        </w:rPr>
        <w:t>2</w:t>
      </w:r>
      <w:r>
        <w:rPr>
          <w:lang w:eastAsia="ja-JP"/>
        </w:rPr>
        <w:t>OO kinetics is higher and has substantial error limits. The results of Ting et al.</w:t>
      </w:r>
      <w:r w:rsidR="00FF27F6">
        <w:rPr>
          <w:lang w:eastAsia="ja-JP"/>
        </w:rPr>
        <w:t xml:space="preserve"> (2014)</w:t>
      </w:r>
      <w:r>
        <w:rPr>
          <w:lang w:eastAsia="ja-JP"/>
        </w:rPr>
        <w:t xml:space="preserve"> give a specific rate constant for the IO producing channel</w:t>
      </w:r>
      <w:r w:rsidR="00217F20">
        <w:rPr>
          <w:lang w:eastAsia="ja-JP"/>
        </w:rPr>
        <w:t xml:space="preserve"> (</w:t>
      </w:r>
      <w:r w:rsidR="00FF27F6" w:rsidRPr="00FF27F6">
        <w:rPr>
          <w:i/>
          <w:iCs/>
          <w:lang w:eastAsia="ja-JP"/>
        </w:rPr>
        <w:t>k</w:t>
      </w:r>
      <w:r w:rsidR="00217F20" w:rsidRPr="00FF27F6">
        <w:rPr>
          <w:vertAlign w:val="subscript"/>
          <w:lang w:eastAsia="ja-JP"/>
        </w:rPr>
        <w:t>1</w:t>
      </w:r>
      <w:r w:rsidR="00217F20">
        <w:rPr>
          <w:lang w:eastAsia="ja-JP"/>
        </w:rPr>
        <w:t>)</w:t>
      </w:r>
      <w:r>
        <w:rPr>
          <w:lang w:eastAsia="ja-JP"/>
        </w:rPr>
        <w:t xml:space="preserve">, which is the basis of the recommendation. The value of </w:t>
      </w:r>
      <w:r>
        <w:rPr>
          <w:i/>
          <w:lang w:eastAsia="ja-JP"/>
        </w:rPr>
        <w:t>k</w:t>
      </w:r>
      <w:r>
        <w:rPr>
          <w:vertAlign w:val="subscript"/>
          <w:lang w:eastAsia="ja-JP"/>
        </w:rPr>
        <w:t>1</w:t>
      </w:r>
      <w:r>
        <w:rPr>
          <w:lang w:eastAsia="ja-JP"/>
        </w:rPr>
        <w:t xml:space="preserve"> appear</w:t>
      </w:r>
      <w:r w:rsidR="00FF27F6">
        <w:rPr>
          <w:lang w:eastAsia="ja-JP"/>
        </w:rPr>
        <w:t>s</w:t>
      </w:r>
      <w:r>
        <w:rPr>
          <w:lang w:eastAsia="ja-JP"/>
        </w:rPr>
        <w:t xml:space="preserve"> to be independent of pressure.</w:t>
      </w:r>
    </w:p>
    <w:p w14:paraId="1D8A3907" w14:textId="77777777" w:rsidR="00945495" w:rsidRDefault="00945495" w:rsidP="00945495">
      <w:pPr>
        <w:tabs>
          <w:tab w:val="left" w:pos="-1440"/>
          <w:tab w:val="left" w:pos="-720"/>
          <w:tab w:val="left" w:pos="444"/>
        </w:tabs>
        <w:ind w:firstLine="444"/>
        <w:jc w:val="both"/>
      </w:pPr>
      <w:r w:rsidRPr="00945495">
        <w:t xml:space="preserve"> </w:t>
      </w:r>
    </w:p>
    <w:p w14:paraId="5ABA8341" w14:textId="77777777" w:rsidR="00945495" w:rsidRDefault="00945495" w:rsidP="00945495">
      <w:pPr>
        <w:jc w:val="center"/>
      </w:pPr>
      <w:r>
        <w:rPr>
          <w:b/>
          <w:bCs/>
        </w:rPr>
        <w:t>References</w:t>
      </w:r>
    </w:p>
    <w:p w14:paraId="404A39EB" w14:textId="77777777" w:rsidR="007A2AFA" w:rsidRDefault="007A2AFA" w:rsidP="007A2AFA">
      <w:pPr>
        <w:jc w:val="both"/>
        <w:rPr>
          <w:lang w:val="de-DE"/>
        </w:rPr>
      </w:pPr>
    </w:p>
    <w:p w14:paraId="7A9CB606" w14:textId="77777777" w:rsidR="00676F76" w:rsidRDefault="009C4B01" w:rsidP="004E069E">
      <w:pPr>
        <w:widowControl w:val="0"/>
        <w:overflowPunct w:val="0"/>
        <w:ind w:left="289" w:hanging="289"/>
      </w:pPr>
      <w:r>
        <w:rPr>
          <w:rFonts w:ascii="Times" w:hAnsi="Times" w:cs="Times"/>
        </w:rPr>
        <w:t xml:space="preserve">Buras, Z. J., </w:t>
      </w:r>
      <w:proofErr w:type="spellStart"/>
      <w:r>
        <w:rPr>
          <w:rFonts w:ascii="Times" w:hAnsi="Times" w:cs="Times"/>
        </w:rPr>
        <w:t>Elsamra</w:t>
      </w:r>
      <w:proofErr w:type="spellEnd"/>
      <w:r>
        <w:rPr>
          <w:rFonts w:ascii="Times" w:hAnsi="Times" w:cs="Times"/>
        </w:rPr>
        <w:t xml:space="preserve">, R. M. and Green, W. H.: </w:t>
      </w:r>
      <w:r w:rsidRPr="003B485C">
        <w:rPr>
          <w:rFonts w:ascii="Times" w:hAnsi="Times" w:cs="Times"/>
        </w:rPr>
        <w:t>J. Phys. Chem. Lett., 5, 2224</w:t>
      </w:r>
      <w:r>
        <w:rPr>
          <w:rFonts w:ascii="Times" w:hAnsi="Times" w:cs="Times"/>
        </w:rPr>
        <w:t>, 2014.</w:t>
      </w:r>
    </w:p>
    <w:p w14:paraId="68FFF339" w14:textId="77777777" w:rsidR="00676F76" w:rsidRDefault="00676F76" w:rsidP="004E069E">
      <w:pPr>
        <w:ind w:left="289" w:hanging="289"/>
      </w:pPr>
      <w:r>
        <w:t>Chhantyal-Pun, R., Davey, A., Shallcross, D.E., Percival, C.J. and Orr-Ewing, A.J.: Phys. Chem. Chem. Phys., 17, 3617, 2015.</w:t>
      </w:r>
    </w:p>
    <w:p w14:paraId="3E22B30A" w14:textId="77777777" w:rsidR="00676F76" w:rsidRDefault="00676F76" w:rsidP="004E069E">
      <w:pPr>
        <w:ind w:left="289" w:hanging="289"/>
        <w:jc w:val="both"/>
      </w:pPr>
      <w:r>
        <w:t xml:space="preserve">Su, Y-T., Huang, Y-H., </w:t>
      </w:r>
      <w:proofErr w:type="spellStart"/>
      <w:r>
        <w:t>Witek</w:t>
      </w:r>
      <w:proofErr w:type="spellEnd"/>
      <w:r>
        <w:t>, H. and Lee, Y-P.: Science, 340, 174, 2013.</w:t>
      </w:r>
    </w:p>
    <w:p w14:paraId="543B5E99" w14:textId="291F7C2F" w:rsidR="00676F76" w:rsidRDefault="00353B70" w:rsidP="004E069E">
      <w:pPr>
        <w:ind w:left="289" w:hanging="289"/>
        <w:jc w:val="both"/>
      </w:pPr>
      <w:r>
        <w:t>Su, Y-T.,</w:t>
      </w:r>
      <w:r w:rsidR="00676F76">
        <w:t xml:space="preserve"> L, Lin, H-Y., </w:t>
      </w:r>
      <w:proofErr w:type="spellStart"/>
      <w:r w:rsidR="00676F76">
        <w:t>Putikam</w:t>
      </w:r>
      <w:proofErr w:type="spellEnd"/>
      <w:r w:rsidR="00676F76">
        <w:t>, R., Matsui, H., Lin, M.C., and Lee, Y-P.: Nature Chem</w:t>
      </w:r>
      <w:r w:rsidR="00F63E9B">
        <w:t>.</w:t>
      </w:r>
      <w:r w:rsidR="00676F76">
        <w:t>, 6, 477, 2014.</w:t>
      </w:r>
    </w:p>
    <w:p w14:paraId="04A8F6DE" w14:textId="77777777" w:rsidR="002874A0" w:rsidRDefault="002E1E07" w:rsidP="004E069E">
      <w:pPr>
        <w:ind w:left="289" w:hanging="289"/>
        <w:jc w:val="both"/>
      </w:pPr>
      <w:r w:rsidRPr="002E1E07">
        <w:t>Ting,</w:t>
      </w:r>
      <w:r w:rsidR="00CE2927">
        <w:t xml:space="preserve"> </w:t>
      </w:r>
      <w:r w:rsidRPr="002E1E07">
        <w:t>W-L, Chen, Y-H., Lee, Y-F, Matsui, H., Lee, Y-P. and Lin, J Jr -M.</w:t>
      </w:r>
      <w:r>
        <w:t>:</w:t>
      </w:r>
      <w:r w:rsidRPr="002E1E07">
        <w:t xml:space="preserve"> J. Chem.</w:t>
      </w:r>
      <w:r>
        <w:t xml:space="preserve"> </w:t>
      </w:r>
      <w:r w:rsidRPr="002E1E07">
        <w:t>Phys., 141, 104308, 2014.</w:t>
      </w:r>
      <w:r>
        <w:t xml:space="preserve"> </w:t>
      </w:r>
    </w:p>
    <w:p w14:paraId="6113499C" w14:textId="77777777" w:rsidR="00676F76" w:rsidRDefault="00676F76" w:rsidP="0003110A">
      <w:pPr>
        <w:jc w:val="both"/>
        <w:rPr>
          <w:lang w:val="de-DE"/>
        </w:rPr>
      </w:pPr>
    </w:p>
    <w:sectPr w:rsidR="00676F76">
      <w:footerReference w:type="default" r:id="rId9"/>
      <w:footerReference w:type="first" r:id="rId10"/>
      <w:pgSz w:w="11906" w:h="16838"/>
      <w:pgMar w:top="1440" w:right="842" w:bottom="1440" w:left="10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8B1C3A" w14:textId="77777777" w:rsidR="00A77CE1" w:rsidRDefault="00A77CE1">
      <w:r>
        <w:separator/>
      </w:r>
    </w:p>
  </w:endnote>
  <w:endnote w:type="continuationSeparator" w:id="0">
    <w:p w14:paraId="41B0F45F" w14:textId="77777777" w:rsidR="00A77CE1" w:rsidRDefault="00A77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Liberation Sans">
    <w:altName w:val="Yu Gothic"/>
    <w:charset w:val="8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ohit Devanagari">
    <w:altName w:val="MS Gothic"/>
    <w:charset w:val="80"/>
    <w:family w:val="auto"/>
    <w:pitch w:val="variable"/>
  </w:font>
  <w:font w:name="DejaVu Sans">
    <w:charset w:val="80"/>
    <w:family w:val="auto"/>
    <w:pitch w:val="variable"/>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2F966" w14:textId="77777777" w:rsidR="00667891" w:rsidRDefault="00667891">
    <w:pPr>
      <w:pStyle w:val="Footer"/>
    </w:pPr>
    <w:r>
      <w:pict w14:anchorId="5C3CC38A">
        <v:shapetype id="_x0000_t202" coordsize="21600,21600" o:spt="202" path="m,l,21600r21600,l21600,xe">
          <v:stroke joinstyle="miter"/>
          <v:path gradientshapeok="t" o:connecttype="rect"/>
        </v:shapetype>
        <v:shape id="_x0000_s2049" type="#_x0000_t202" style="position:absolute;margin-left:0;margin-top:.05pt;width:5.8pt;height:13.55pt;z-index:1;mso-wrap-distance-left:0;mso-wrap-distance-right:0;mso-position-horizontal:center;mso-position-horizontal-relative:margin" stroked="f">
          <v:fill opacity="0" color2="black"/>
          <v:textbox inset="0,0,0,0">
            <w:txbxContent>
              <w:p w14:paraId="222659E1" w14:textId="77777777" w:rsidR="00667891" w:rsidRDefault="00667891">
                <w:pPr>
                  <w:pStyle w:val="Footer"/>
                </w:pPr>
                <w:r>
                  <w:rPr>
                    <w:rStyle w:val="PageNumber"/>
                  </w:rPr>
                  <w:fldChar w:fldCharType="begin"/>
                </w:r>
                <w:r>
                  <w:rPr>
                    <w:rStyle w:val="PageNumber"/>
                  </w:rPr>
                  <w:instrText xml:space="preserve"> PAGE </w:instrText>
                </w:r>
                <w:r>
                  <w:rPr>
                    <w:rStyle w:val="PageNumber"/>
                  </w:rPr>
                  <w:fldChar w:fldCharType="separate"/>
                </w:r>
                <w:r w:rsidR="00217F20">
                  <w:rPr>
                    <w:rStyle w:val="PageNumber"/>
                    <w:noProof/>
                  </w:rPr>
                  <w:t>2</w:t>
                </w:r>
                <w:r>
                  <w:rPr>
                    <w:rStyle w:val="PageNumber"/>
                  </w:rPr>
                  <w:fldChar w:fldCharType="end"/>
                </w:r>
              </w:p>
            </w:txbxContent>
          </v:textbox>
          <w10:wrap type="square" side="largest"/>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30551" w14:textId="77777777" w:rsidR="00667891" w:rsidRDefault="0066789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8CA84D" w14:textId="77777777" w:rsidR="00A77CE1" w:rsidRDefault="00A77CE1">
      <w:r>
        <w:separator/>
      </w:r>
    </w:p>
  </w:footnote>
  <w:footnote w:type="continuationSeparator" w:id="0">
    <w:p w14:paraId="4D2FD5EA" w14:textId="77777777" w:rsidR="00A77CE1" w:rsidRDefault="00A77C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2"/>
    <w:lvl w:ilvl="0">
      <w:start w:val="1"/>
      <w:numFmt w:val="lowerLetter"/>
      <w:lvlText w:val="(%1)"/>
      <w:lvlJc w:val="left"/>
      <w:pPr>
        <w:tabs>
          <w:tab w:val="num" w:pos="360"/>
        </w:tabs>
        <w:ind w:left="360" w:hanging="360"/>
      </w:pPr>
    </w:lvl>
  </w:abstractNum>
  <w:abstractNum w:abstractNumId="3" w15:restartNumberingAfterBreak="0">
    <w:nsid w:val="55BC4BFB"/>
    <w:multiLevelType w:val="multilevel"/>
    <w:tmpl w:val="8716C782"/>
    <w:lvl w:ilvl="0">
      <w:start w:val="1"/>
      <w:numFmt w:val="decimal"/>
      <w:lvlText w:val="B%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6FBD7EB1"/>
    <w:multiLevelType w:val="hybridMultilevel"/>
    <w:tmpl w:val="434A03BA"/>
    <w:name w:val="WW8Num211"/>
    <w:lvl w:ilvl="0" w:tplc="DE32A844">
      <w:start w:val="1"/>
      <w:numFmt w:val="lowerLetter"/>
      <w:lvlText w:val="(%1)"/>
      <w:lvlJc w:val="left"/>
      <w:pPr>
        <w:tabs>
          <w:tab w:val="num" w:pos="360"/>
        </w:tabs>
        <w:ind w:left="36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5"/>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74307"/>
    <w:rsid w:val="00004857"/>
    <w:rsid w:val="00026185"/>
    <w:rsid w:val="0003110A"/>
    <w:rsid w:val="00051639"/>
    <w:rsid w:val="000554DE"/>
    <w:rsid w:val="00060F84"/>
    <w:rsid w:val="00073E26"/>
    <w:rsid w:val="00082371"/>
    <w:rsid w:val="00083A9E"/>
    <w:rsid w:val="0008753F"/>
    <w:rsid w:val="00087559"/>
    <w:rsid w:val="000917D3"/>
    <w:rsid w:val="000A5DB0"/>
    <w:rsid w:val="000B1E91"/>
    <w:rsid w:val="000C6109"/>
    <w:rsid w:val="000C7423"/>
    <w:rsid w:val="000D5266"/>
    <w:rsid w:val="00103BFE"/>
    <w:rsid w:val="00110DA2"/>
    <w:rsid w:val="00127FA2"/>
    <w:rsid w:val="00133D64"/>
    <w:rsid w:val="00175907"/>
    <w:rsid w:val="00187FB3"/>
    <w:rsid w:val="00196AE4"/>
    <w:rsid w:val="001B27E8"/>
    <w:rsid w:val="001C4DB8"/>
    <w:rsid w:val="00213494"/>
    <w:rsid w:val="00217F20"/>
    <w:rsid w:val="00230EA1"/>
    <w:rsid w:val="00257C1E"/>
    <w:rsid w:val="00263004"/>
    <w:rsid w:val="0027752A"/>
    <w:rsid w:val="002818FE"/>
    <w:rsid w:val="002874A0"/>
    <w:rsid w:val="00296D05"/>
    <w:rsid w:val="002A326E"/>
    <w:rsid w:val="002B76A5"/>
    <w:rsid w:val="002C30AE"/>
    <w:rsid w:val="002D26FD"/>
    <w:rsid w:val="002E1E07"/>
    <w:rsid w:val="002F6868"/>
    <w:rsid w:val="00314A79"/>
    <w:rsid w:val="00353B70"/>
    <w:rsid w:val="003738B3"/>
    <w:rsid w:val="00374307"/>
    <w:rsid w:val="00392C39"/>
    <w:rsid w:val="003964D0"/>
    <w:rsid w:val="003B2E4A"/>
    <w:rsid w:val="003B61AE"/>
    <w:rsid w:val="003C2C4D"/>
    <w:rsid w:val="003E0DEE"/>
    <w:rsid w:val="003F4605"/>
    <w:rsid w:val="00400E22"/>
    <w:rsid w:val="0044764F"/>
    <w:rsid w:val="004478AE"/>
    <w:rsid w:val="00457AB9"/>
    <w:rsid w:val="004A5A5E"/>
    <w:rsid w:val="004B43B1"/>
    <w:rsid w:val="004E069E"/>
    <w:rsid w:val="004E7933"/>
    <w:rsid w:val="00506C23"/>
    <w:rsid w:val="00510981"/>
    <w:rsid w:val="00525C80"/>
    <w:rsid w:val="0052659C"/>
    <w:rsid w:val="00543848"/>
    <w:rsid w:val="00581FF4"/>
    <w:rsid w:val="0058473E"/>
    <w:rsid w:val="005C5BC3"/>
    <w:rsid w:val="005D0E90"/>
    <w:rsid w:val="005D133B"/>
    <w:rsid w:val="005E378A"/>
    <w:rsid w:val="005F30D4"/>
    <w:rsid w:val="005F7772"/>
    <w:rsid w:val="006021C6"/>
    <w:rsid w:val="00637C26"/>
    <w:rsid w:val="00643BD9"/>
    <w:rsid w:val="00665B4C"/>
    <w:rsid w:val="00667891"/>
    <w:rsid w:val="00676F76"/>
    <w:rsid w:val="00684881"/>
    <w:rsid w:val="00691BDC"/>
    <w:rsid w:val="00692E58"/>
    <w:rsid w:val="006A2199"/>
    <w:rsid w:val="006D3277"/>
    <w:rsid w:val="006F09CD"/>
    <w:rsid w:val="006F4FFB"/>
    <w:rsid w:val="006F79CA"/>
    <w:rsid w:val="00705785"/>
    <w:rsid w:val="00712FEF"/>
    <w:rsid w:val="00713905"/>
    <w:rsid w:val="00722811"/>
    <w:rsid w:val="00732673"/>
    <w:rsid w:val="00743D70"/>
    <w:rsid w:val="007474A9"/>
    <w:rsid w:val="007565E5"/>
    <w:rsid w:val="00773C03"/>
    <w:rsid w:val="00777B41"/>
    <w:rsid w:val="00796BA6"/>
    <w:rsid w:val="007A2AFA"/>
    <w:rsid w:val="007D12BB"/>
    <w:rsid w:val="007F4289"/>
    <w:rsid w:val="008401F1"/>
    <w:rsid w:val="0085481F"/>
    <w:rsid w:val="00861DC1"/>
    <w:rsid w:val="008A3B84"/>
    <w:rsid w:val="008B3D0F"/>
    <w:rsid w:val="008D7B6A"/>
    <w:rsid w:val="008E4057"/>
    <w:rsid w:val="008E758B"/>
    <w:rsid w:val="00906C25"/>
    <w:rsid w:val="00937BE5"/>
    <w:rsid w:val="00945495"/>
    <w:rsid w:val="00953031"/>
    <w:rsid w:val="0095622F"/>
    <w:rsid w:val="00963CC7"/>
    <w:rsid w:val="00976095"/>
    <w:rsid w:val="00994621"/>
    <w:rsid w:val="009A6409"/>
    <w:rsid w:val="009B0CFC"/>
    <w:rsid w:val="009B62DB"/>
    <w:rsid w:val="009C4B01"/>
    <w:rsid w:val="009E304E"/>
    <w:rsid w:val="00A05D44"/>
    <w:rsid w:val="00A11E5E"/>
    <w:rsid w:val="00A147A6"/>
    <w:rsid w:val="00A339FB"/>
    <w:rsid w:val="00A35ADF"/>
    <w:rsid w:val="00A373FD"/>
    <w:rsid w:val="00A54391"/>
    <w:rsid w:val="00A606B7"/>
    <w:rsid w:val="00A74A04"/>
    <w:rsid w:val="00A77CE1"/>
    <w:rsid w:val="00A914B7"/>
    <w:rsid w:val="00AB6337"/>
    <w:rsid w:val="00AC42C9"/>
    <w:rsid w:val="00AC70C1"/>
    <w:rsid w:val="00AE657F"/>
    <w:rsid w:val="00AF66F9"/>
    <w:rsid w:val="00B01D49"/>
    <w:rsid w:val="00B31BF6"/>
    <w:rsid w:val="00B4430F"/>
    <w:rsid w:val="00B614F5"/>
    <w:rsid w:val="00B84FD2"/>
    <w:rsid w:val="00B863FE"/>
    <w:rsid w:val="00B90E75"/>
    <w:rsid w:val="00B91D99"/>
    <w:rsid w:val="00B94850"/>
    <w:rsid w:val="00BF03C1"/>
    <w:rsid w:val="00BF04CF"/>
    <w:rsid w:val="00C000CE"/>
    <w:rsid w:val="00C44122"/>
    <w:rsid w:val="00C44987"/>
    <w:rsid w:val="00C90753"/>
    <w:rsid w:val="00C95D99"/>
    <w:rsid w:val="00CA56DB"/>
    <w:rsid w:val="00CA62A7"/>
    <w:rsid w:val="00CA6630"/>
    <w:rsid w:val="00CA69DA"/>
    <w:rsid w:val="00CE2927"/>
    <w:rsid w:val="00CE480D"/>
    <w:rsid w:val="00CF19DD"/>
    <w:rsid w:val="00D0777C"/>
    <w:rsid w:val="00D309AC"/>
    <w:rsid w:val="00D60876"/>
    <w:rsid w:val="00D72280"/>
    <w:rsid w:val="00D753B9"/>
    <w:rsid w:val="00D76EA6"/>
    <w:rsid w:val="00D84E02"/>
    <w:rsid w:val="00D851E9"/>
    <w:rsid w:val="00D8581C"/>
    <w:rsid w:val="00DA43A2"/>
    <w:rsid w:val="00DB7013"/>
    <w:rsid w:val="00DC174E"/>
    <w:rsid w:val="00DC219A"/>
    <w:rsid w:val="00DC5A70"/>
    <w:rsid w:val="00DF3831"/>
    <w:rsid w:val="00E340BA"/>
    <w:rsid w:val="00E3651F"/>
    <w:rsid w:val="00E4656A"/>
    <w:rsid w:val="00E81FFB"/>
    <w:rsid w:val="00E82CEC"/>
    <w:rsid w:val="00EA5447"/>
    <w:rsid w:val="00EB1D0E"/>
    <w:rsid w:val="00EC3729"/>
    <w:rsid w:val="00ED24D0"/>
    <w:rsid w:val="00ED5945"/>
    <w:rsid w:val="00EF5DB1"/>
    <w:rsid w:val="00F16E4A"/>
    <w:rsid w:val="00F340B1"/>
    <w:rsid w:val="00F54C85"/>
    <w:rsid w:val="00F63E9B"/>
    <w:rsid w:val="00F649C4"/>
    <w:rsid w:val="00F81A6C"/>
    <w:rsid w:val="00FB54ED"/>
    <w:rsid w:val="00FD2AD1"/>
    <w:rsid w:val="00FD4A5F"/>
    <w:rsid w:val="00FE162E"/>
    <w:rsid w:val="00FE35EF"/>
    <w:rsid w:val="00FE4BF9"/>
    <w:rsid w:val="00FE5F10"/>
    <w:rsid w:val="00FF27F6"/>
    <w:rsid w:val="00FF4E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62C4D1E4"/>
  <w15:chartTrackingRefBased/>
  <w15:docId w15:val="{1FC16114-5CA4-46C2-A6DA-6727B1DF1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color w:val="000000"/>
      <w:sz w:val="24"/>
      <w:lang w:val="en-US" w:eastAsia="zh-CN"/>
    </w:rPr>
  </w:style>
  <w:style w:type="paragraph" w:styleId="Heading1">
    <w:name w:val="heading 1"/>
    <w:basedOn w:val="Normal"/>
    <w:next w:val="Normal"/>
    <w:qFormat/>
    <w:pPr>
      <w:keepNext/>
      <w:numPr>
        <w:numId w:val="2"/>
      </w:numPr>
      <w:tabs>
        <w:tab w:val="center" w:pos="4680"/>
      </w:tabs>
      <w:jc w:val="both"/>
      <w:outlineLvl w:val="0"/>
    </w:pPr>
    <w:rPr>
      <w:rFonts w:ascii="CG Times" w:hAnsi="CG Times" w:cs="CG Times"/>
      <w:i/>
      <w:color w:val="0000FF"/>
      <w:sz w:val="20"/>
    </w:rPr>
  </w:style>
  <w:style w:type="paragraph" w:styleId="Heading2">
    <w:name w:val="heading 2"/>
    <w:basedOn w:val="Normal"/>
    <w:next w:val="Normal"/>
    <w:qFormat/>
    <w:pPr>
      <w:keepNext/>
      <w:numPr>
        <w:ilvl w:val="1"/>
        <w:numId w:val="2"/>
      </w:numPr>
      <w:tabs>
        <w:tab w:val="center" w:pos="4680"/>
      </w:tabs>
      <w:jc w:val="center"/>
      <w:outlineLvl w:val="1"/>
    </w:pPr>
    <w:rPr>
      <w:rFonts w:ascii="CG Times" w:hAnsi="CG Times" w:cs="CG Times"/>
      <w:b/>
      <w:color w:val="0000FF"/>
    </w:rPr>
  </w:style>
  <w:style w:type="paragraph" w:styleId="Heading3">
    <w:name w:val="heading 3"/>
    <w:basedOn w:val="Normal"/>
    <w:next w:val="Normal"/>
    <w:qFormat/>
    <w:pPr>
      <w:keepNext/>
      <w:numPr>
        <w:ilvl w:val="2"/>
        <w:numId w:val="2"/>
      </w:numPr>
      <w:tabs>
        <w:tab w:val="center" w:pos="4680"/>
      </w:tabs>
      <w:jc w:val="both"/>
      <w:outlineLvl w:val="2"/>
    </w:pPr>
    <w:rPr>
      <w:i/>
      <w:sz w:val="20"/>
    </w:rPr>
  </w:style>
  <w:style w:type="paragraph" w:styleId="Heading4">
    <w:name w:val="heading 4"/>
    <w:basedOn w:val="Normal"/>
    <w:next w:val="Normal"/>
    <w:qFormat/>
    <w:pPr>
      <w:keepNext/>
      <w:numPr>
        <w:ilvl w:val="3"/>
        <w:numId w:val="2"/>
      </w:numPr>
      <w:tabs>
        <w:tab w:val="left" w:pos="-1440"/>
        <w:tab w:val="left" w:pos="-720"/>
        <w:tab w:val="left" w:pos="444"/>
      </w:tabs>
      <w:jc w:val="both"/>
      <w:outlineLvl w:val="3"/>
    </w:pPr>
    <w:rPr>
      <w:i/>
    </w:rPr>
  </w:style>
  <w:style w:type="paragraph" w:styleId="Heading5">
    <w:name w:val="heading 5"/>
    <w:basedOn w:val="Normal"/>
    <w:next w:val="Normal"/>
    <w:qFormat/>
    <w:pPr>
      <w:keepNext/>
      <w:numPr>
        <w:ilvl w:val="4"/>
        <w:numId w:val="2"/>
      </w:numPr>
      <w:tabs>
        <w:tab w:val="center" w:pos="4680"/>
        <w:tab w:val="left" w:pos="4867"/>
        <w:tab w:val="left" w:pos="7982"/>
        <w:tab w:val="left" w:pos="8395"/>
        <w:tab w:val="left" w:pos="8812"/>
      </w:tabs>
      <w:jc w:val="center"/>
      <w:outlineLvl w:val="4"/>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3z0">
    <w:name w:val="WW8Num3z0"/>
    <w:rPr>
      <w:strike w:val="0"/>
      <w:dstrike w:val="0"/>
      <w:vertAlign w:val="superscript"/>
    </w:rPr>
  </w:style>
  <w:style w:type="character" w:customStyle="1" w:styleId="WW8Num7z0">
    <w:name w:val="WW8Num7z0"/>
    <w:rPr>
      <w:strike w:val="0"/>
      <w:dstrike w:val="0"/>
      <w:vertAlign w:val="superscript"/>
    </w:rPr>
  </w:style>
  <w:style w:type="character" w:styleId="DefaultParagraphFont0">
    <w:name w:val="Default Paragraph Font"/>
  </w:style>
  <w:style w:type="character" w:styleId="Hyperlink">
    <w:name w:val="Hyperlink"/>
    <w:rPr>
      <w:color w:val="0000FF"/>
      <w:u w:val="single"/>
    </w:rPr>
  </w:style>
  <w:style w:type="character" w:styleId="FollowedHyperlink">
    <w:name w:val="FollowedHyperlink"/>
    <w:rPr>
      <w:color w:val="800080"/>
      <w:u w:val="single"/>
    </w:rPr>
  </w:style>
  <w:style w:type="character" w:styleId="PageNumber">
    <w:name w:val="page number"/>
    <w:basedOn w:val="DefaultParagraphFont0"/>
  </w:style>
  <w:style w:type="paragraph" w:customStyle="1" w:styleId="Titre">
    <w:name w:val="Titre"/>
    <w:basedOn w:val="Normal"/>
    <w:next w:val="BodyTex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20"/>
    </w:pPr>
  </w:style>
  <w:style w:type="paragraph" w:styleId="List">
    <w:name w:val="List"/>
    <w:basedOn w:val="BodyText"/>
    <w:rPr>
      <w:rFonts w:cs="Lohit Devanagari"/>
    </w:rPr>
  </w:style>
  <w:style w:type="paragraph" w:styleId="Caption">
    <w:name w:val="caption"/>
    <w:basedOn w:val="Normal"/>
    <w:pPr>
      <w:suppressLineNumbers/>
      <w:spacing w:before="120" w:after="120"/>
    </w:pPr>
    <w:rPr>
      <w:rFonts w:cs="Mangal"/>
      <w:i/>
      <w:iCs/>
      <w:szCs w:val="24"/>
    </w:rPr>
  </w:style>
  <w:style w:type="paragraph" w:customStyle="1" w:styleId="Index">
    <w:name w:val="Index"/>
    <w:basedOn w:val="Normal"/>
    <w:pPr>
      <w:suppressLineNumbers/>
    </w:pPr>
    <w:rPr>
      <w:rFonts w:cs="Lohit Devanagari"/>
    </w:rPr>
  </w:style>
  <w:style w:type="paragraph" w:customStyle="1" w:styleId="Heading">
    <w:name w:val="Heading"/>
    <w:basedOn w:val="Normal"/>
    <w:next w:val="BodyText"/>
    <w:pPr>
      <w:keepNext/>
      <w:spacing w:before="240" w:after="120"/>
    </w:pPr>
    <w:rPr>
      <w:rFonts w:ascii="Liberation Sans" w:eastAsia="DejaVu Sans" w:hAnsi="Liberation Sans" w:cs="Lohit Devanagari"/>
      <w:sz w:val="28"/>
      <w:szCs w:val="28"/>
    </w:rPr>
  </w:style>
  <w:style w:type="paragraph" w:styleId="Caption0">
    <w:name w:val="caption"/>
    <w:basedOn w:val="Normal"/>
    <w:qFormat/>
    <w:pPr>
      <w:suppressLineNumbers/>
      <w:spacing w:before="120" w:after="120"/>
    </w:pPr>
    <w:rPr>
      <w:rFonts w:cs="Lohit Devanagari"/>
      <w:i/>
      <w:iCs/>
      <w:szCs w:val="24"/>
    </w:rPr>
  </w:style>
  <w:style w:type="paragraph" w:styleId="Footer">
    <w:name w:val="footer"/>
    <w:basedOn w:val="Normal"/>
    <w:link w:val="FooterChar"/>
    <w:pPr>
      <w:tabs>
        <w:tab w:val="center" w:pos="4320"/>
        <w:tab w:val="right" w:pos="8640"/>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Header">
    <w:name w:val="header"/>
    <w:basedOn w:val="Normal"/>
    <w:pPr>
      <w:suppressLineNumbers/>
      <w:tabs>
        <w:tab w:val="center" w:pos="4819"/>
        <w:tab w:val="right" w:pos="9638"/>
      </w:tabs>
    </w:pPr>
  </w:style>
  <w:style w:type="paragraph" w:styleId="BodyTextIndent">
    <w:name w:val="Body Text Indent"/>
    <w:basedOn w:val="BodyText"/>
    <w:pPr>
      <w:ind w:left="283"/>
    </w:p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ecadre">
    <w:name w:val="Contenu de cadre"/>
    <w:basedOn w:val="Normal"/>
  </w:style>
  <w:style w:type="character" w:styleId="CommentReference">
    <w:name w:val="annotation reference"/>
    <w:uiPriority w:val="99"/>
    <w:semiHidden/>
    <w:unhideWhenUsed/>
    <w:rsid w:val="00AB6337"/>
    <w:rPr>
      <w:sz w:val="16"/>
      <w:szCs w:val="16"/>
    </w:rPr>
  </w:style>
  <w:style w:type="paragraph" w:styleId="CommentText">
    <w:name w:val="annotation text"/>
    <w:basedOn w:val="Normal"/>
    <w:link w:val="CommentTextChar"/>
    <w:uiPriority w:val="99"/>
    <w:semiHidden/>
    <w:unhideWhenUsed/>
    <w:rsid w:val="00AB6337"/>
    <w:rPr>
      <w:color w:val="auto"/>
      <w:sz w:val="20"/>
      <w:lang w:val="en-GB"/>
    </w:rPr>
  </w:style>
  <w:style w:type="character" w:customStyle="1" w:styleId="CommentTextChar">
    <w:name w:val="Comment Text Char"/>
    <w:link w:val="CommentText"/>
    <w:uiPriority w:val="99"/>
    <w:semiHidden/>
    <w:rsid w:val="00AB6337"/>
    <w:rPr>
      <w:lang w:eastAsia="zh-CN"/>
    </w:rPr>
  </w:style>
  <w:style w:type="paragraph" w:styleId="BalloonText">
    <w:name w:val="Balloon Text"/>
    <w:basedOn w:val="Normal"/>
    <w:link w:val="BalloonTextChar"/>
    <w:uiPriority w:val="99"/>
    <w:semiHidden/>
    <w:unhideWhenUsed/>
    <w:rsid w:val="00AB6337"/>
    <w:rPr>
      <w:rFonts w:ascii="Tahoma" w:hAnsi="Tahoma" w:cs="Tahoma"/>
      <w:sz w:val="16"/>
      <w:szCs w:val="16"/>
    </w:rPr>
  </w:style>
  <w:style w:type="character" w:customStyle="1" w:styleId="BalloonTextChar">
    <w:name w:val="Balloon Text Char"/>
    <w:link w:val="BalloonText"/>
    <w:uiPriority w:val="99"/>
    <w:semiHidden/>
    <w:rsid w:val="00AB6337"/>
    <w:rPr>
      <w:rFonts w:ascii="Tahoma" w:hAnsi="Tahoma" w:cs="Tahoma"/>
      <w:color w:val="000000"/>
      <w:sz w:val="16"/>
      <w:szCs w:val="16"/>
      <w:lang w:val="en-US" w:eastAsia="zh-CN"/>
    </w:rPr>
  </w:style>
  <w:style w:type="paragraph" w:styleId="CommentSubject">
    <w:name w:val="annotation subject"/>
    <w:basedOn w:val="CommentText"/>
    <w:next w:val="CommentText"/>
    <w:link w:val="CommentSubjectChar"/>
    <w:uiPriority w:val="99"/>
    <w:semiHidden/>
    <w:unhideWhenUsed/>
    <w:rsid w:val="00DC5A70"/>
    <w:rPr>
      <w:b/>
      <w:bCs/>
      <w:color w:val="000000"/>
      <w:lang w:val="en-US"/>
    </w:rPr>
  </w:style>
  <w:style w:type="character" w:customStyle="1" w:styleId="CommentSubjectChar">
    <w:name w:val="Comment Subject Char"/>
    <w:link w:val="CommentSubject"/>
    <w:uiPriority w:val="99"/>
    <w:semiHidden/>
    <w:rsid w:val="00DC5A70"/>
    <w:rPr>
      <w:b/>
      <w:bCs/>
      <w:color w:val="000000"/>
      <w:lang w:val="en-US" w:eastAsia="zh-CN"/>
    </w:rPr>
  </w:style>
  <w:style w:type="character" w:customStyle="1" w:styleId="FooterChar">
    <w:name w:val="Footer Char"/>
    <w:link w:val="Footer"/>
    <w:rsid w:val="0003110A"/>
    <w:rPr>
      <w:color w:val="000000"/>
      <w:sz w:val="24"/>
      <w:lang w:val="en-US" w:eastAsia="zh-CN"/>
    </w:rPr>
  </w:style>
  <w:style w:type="character" w:customStyle="1" w:styleId="pagenumber0">
    <w:name w:val="page number"/>
    <w:rsid w:val="0003110A"/>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971640">
      <w:bodyDiv w:val="1"/>
      <w:marLeft w:val="0"/>
      <w:marRight w:val="0"/>
      <w:marTop w:val="0"/>
      <w:marBottom w:val="0"/>
      <w:divBdr>
        <w:top w:val="none" w:sz="0" w:space="0" w:color="auto"/>
        <w:left w:val="none" w:sz="0" w:space="0" w:color="auto"/>
        <w:bottom w:val="none" w:sz="0" w:space="0" w:color="auto"/>
        <w:right w:val="none" w:sz="0" w:space="0" w:color="auto"/>
      </w:divBdr>
    </w:div>
    <w:div w:id="1210997139">
      <w:bodyDiv w:val="1"/>
      <w:marLeft w:val="0"/>
      <w:marRight w:val="0"/>
      <w:marTop w:val="0"/>
      <w:marBottom w:val="0"/>
      <w:divBdr>
        <w:top w:val="none" w:sz="0" w:space="0" w:color="auto"/>
        <w:left w:val="none" w:sz="0" w:space="0" w:color="auto"/>
        <w:bottom w:val="none" w:sz="0" w:space="0" w:color="auto"/>
        <w:right w:val="none" w:sz="0" w:space="0" w:color="auto"/>
      </w:divBdr>
    </w:div>
    <w:div w:id="1290666626">
      <w:bodyDiv w:val="1"/>
      <w:marLeft w:val="0"/>
      <w:marRight w:val="0"/>
      <w:marTop w:val="0"/>
      <w:marBottom w:val="0"/>
      <w:divBdr>
        <w:top w:val="none" w:sz="0" w:space="0" w:color="auto"/>
        <w:left w:val="none" w:sz="0" w:space="0" w:color="auto"/>
        <w:bottom w:val="none" w:sz="0" w:space="0" w:color="auto"/>
        <w:right w:val="none" w:sz="0" w:space="0" w:color="auto"/>
      </w:divBdr>
    </w:div>
    <w:div w:id="1577128323">
      <w:bodyDiv w:val="1"/>
      <w:marLeft w:val="0"/>
      <w:marRight w:val="0"/>
      <w:marTop w:val="0"/>
      <w:marBottom w:val="0"/>
      <w:divBdr>
        <w:top w:val="none" w:sz="0" w:space="0" w:color="auto"/>
        <w:left w:val="none" w:sz="0" w:space="0" w:color="auto"/>
        <w:bottom w:val="none" w:sz="0" w:space="0" w:color="auto"/>
        <w:right w:val="none" w:sz="0" w:space="0" w:color="auto"/>
      </w:divBdr>
    </w:div>
    <w:div w:id="1821384776">
      <w:bodyDiv w:val="1"/>
      <w:marLeft w:val="0"/>
      <w:marRight w:val="0"/>
      <w:marTop w:val="0"/>
      <w:marBottom w:val="0"/>
      <w:divBdr>
        <w:top w:val="none" w:sz="0" w:space="0" w:color="auto"/>
        <w:left w:val="none" w:sz="0" w:space="0" w:color="auto"/>
        <w:bottom w:val="none" w:sz="0" w:space="0" w:color="auto"/>
        <w:right w:val="none" w:sz="0" w:space="0" w:color="auto"/>
      </w:divBdr>
    </w:div>
    <w:div w:id="1910648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upac.pole-ether.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3756B-1EFC-4652-B5AB-47EFB16F8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744</Words>
  <Characters>4245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IUPAC Task Group on Atmospheric Chemical Kinetic Data Evaluation – Data Sheet CGI_6</vt:lpstr>
    </vt:vector>
  </TitlesOfParts>
  <Company/>
  <LinksUpToDate>false</LinksUpToDate>
  <CharactersWithSpaces>4980</CharactersWithSpaces>
  <SharedDoc>false</SharedDoc>
  <HLinks>
    <vt:vector size="6" baseType="variant">
      <vt:variant>
        <vt:i4>2949152</vt:i4>
      </vt:variant>
      <vt:variant>
        <vt:i4>0</vt:i4>
      </vt:variant>
      <vt:variant>
        <vt:i4>0</vt:i4>
      </vt:variant>
      <vt:variant>
        <vt:i4>5</vt:i4>
      </vt:variant>
      <vt:variant>
        <vt:lpwstr>http://iupac.pole-ether.fr/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IUPAC Task Group on Atmospheric Chemical Kinetic Data Evaluation – Data Sheet CGI_6</dc:title>
  <dc:subject/>
  <dc:creator>Janet Arey</dc:creator>
  <cp:keywords/>
  <cp:lastModifiedBy>Mike</cp:lastModifiedBy>
  <cp:revision>2</cp:revision>
  <cp:lastPrinted>2020-05-10T15:35:00Z</cp:lastPrinted>
  <dcterms:created xsi:type="dcterms:W3CDTF">2020-05-10T15:35:00Z</dcterms:created>
  <dcterms:modified xsi:type="dcterms:W3CDTF">2020-05-10T15:35:00Z</dcterms:modified>
</cp:coreProperties>
</file>