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33DB27"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B91DA1">
        <w:rPr>
          <w:b/>
          <w:szCs w:val="24"/>
        </w:rPr>
        <w:t>4</w:t>
      </w:r>
    </w:p>
    <w:p w14:paraId="536B127A"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4DB0ABB6" w14:textId="7F9250B0" w:rsidR="00083A9E" w:rsidRDefault="00083A9E" w:rsidP="00083A9E">
      <w:pPr>
        <w:ind w:right="525"/>
        <w:jc w:val="both"/>
      </w:pPr>
      <w:r>
        <w:rPr>
          <w:szCs w:val="24"/>
        </w:rPr>
        <w:t xml:space="preserve">This datasheet last evaluated: </w:t>
      </w:r>
      <w:r w:rsidR="004E6E3F">
        <w:rPr>
          <w:szCs w:val="24"/>
        </w:rPr>
        <w:t>May</w:t>
      </w:r>
      <w:r w:rsidR="004E6E3F">
        <w:rPr>
          <w:szCs w:val="24"/>
        </w:rPr>
        <w:t xml:space="preserve"> </w:t>
      </w:r>
      <w:r w:rsidR="00C37254">
        <w:rPr>
          <w:szCs w:val="24"/>
        </w:rPr>
        <w:t>2020</w:t>
      </w:r>
      <w:r>
        <w:rPr>
          <w:szCs w:val="24"/>
        </w:rPr>
        <w:t xml:space="preserve">; last change in preferred values: </w:t>
      </w:r>
      <w:r w:rsidR="00C37254">
        <w:rPr>
          <w:szCs w:val="24"/>
        </w:rPr>
        <w:t>February 2020</w:t>
      </w:r>
    </w:p>
    <w:p w14:paraId="0DB83359" w14:textId="77777777" w:rsidR="00667891" w:rsidRDefault="00667891">
      <w:pPr>
        <w:ind w:right="332"/>
      </w:pPr>
      <w:r>
        <w:pict w14:anchorId="3A36E689">
          <v:line id="_x0000_s1026" style="position:absolute;z-index:1" from="-67.05pt,11.4pt" to="528.2pt,11.4pt" strokeweight=".26mm">
            <v:stroke joinstyle="miter" endcap="square"/>
          </v:line>
        </w:pict>
      </w:r>
    </w:p>
    <w:p w14:paraId="6E9682B8" w14:textId="77777777" w:rsidR="00667891" w:rsidRDefault="00667891">
      <w:pPr>
        <w:tabs>
          <w:tab w:val="center" w:pos="4680"/>
        </w:tabs>
        <w:jc w:val="center"/>
      </w:pPr>
    </w:p>
    <w:p w14:paraId="1F21BF30" w14:textId="42B992BB" w:rsidR="00B91DA1" w:rsidRDefault="00B91DA1" w:rsidP="00DF18E4">
      <w:pPr>
        <w:numPr>
          <w:ilvl w:val="0"/>
          <w:numId w:val="2"/>
        </w:numPr>
        <w:tabs>
          <w:tab w:val="left" w:pos="2835"/>
          <w:tab w:val="left" w:pos="4395"/>
          <w:tab w:val="left" w:pos="9072"/>
        </w:tabs>
        <w:ind w:left="0" w:firstLine="0"/>
        <w:jc w:val="both"/>
        <w:rPr>
          <w:b/>
        </w:rPr>
      </w:pPr>
      <w:r>
        <w:rPr>
          <w:b/>
        </w:rPr>
        <w:t xml:space="preserve"> </w:t>
      </w:r>
      <w:r>
        <w:rPr>
          <w:b/>
        </w:rPr>
        <w:tab/>
        <w:t>CH</w:t>
      </w:r>
      <w:r>
        <w:rPr>
          <w:b/>
          <w:vertAlign w:val="subscript"/>
        </w:rPr>
        <w:t>2</w:t>
      </w:r>
      <w:r>
        <w:rPr>
          <w:b/>
        </w:rPr>
        <w:t>OO + H</w:t>
      </w:r>
      <w:r>
        <w:rPr>
          <w:b/>
          <w:vertAlign w:val="subscript"/>
        </w:rPr>
        <w:t>2</w:t>
      </w:r>
      <w:r w:rsidR="009E16CC">
        <w:rPr>
          <w:b/>
        </w:rPr>
        <w:t>O</w:t>
      </w:r>
      <w:r w:rsidR="009E16CC">
        <w:rPr>
          <w:b/>
        </w:rPr>
        <w:tab/>
      </w:r>
      <w:r>
        <w:rPr>
          <w:b/>
        </w:rPr>
        <w:sym w:font="Symbol" w:char="F0AE"/>
      </w:r>
      <w:r>
        <w:rPr>
          <w:b/>
        </w:rPr>
        <w:t xml:space="preserve"> </w:t>
      </w:r>
      <w:r w:rsidR="009E16CC">
        <w:rPr>
          <w:b/>
        </w:rPr>
        <w:t>HOCH</w:t>
      </w:r>
      <w:r w:rsidR="009E16CC" w:rsidRPr="009E16CC">
        <w:rPr>
          <w:b/>
          <w:vertAlign w:val="subscript"/>
        </w:rPr>
        <w:t>2</w:t>
      </w:r>
      <w:r w:rsidR="009E16CC">
        <w:rPr>
          <w:b/>
        </w:rPr>
        <w:t>OOH</w:t>
      </w:r>
      <w:r w:rsidR="009E16CC">
        <w:rPr>
          <w:b/>
        </w:rPr>
        <w:tab/>
      </w:r>
      <w:r w:rsidR="00DF18E4">
        <w:rPr>
          <w:b/>
        </w:rPr>
        <w:tab/>
      </w:r>
      <w:r>
        <w:rPr>
          <w:b/>
        </w:rPr>
        <w:t>(1</w:t>
      </w:r>
      <w:r w:rsidR="009E16CC">
        <w:rPr>
          <w:b/>
        </w:rPr>
        <w:t>a</w:t>
      </w:r>
      <w:r>
        <w:rPr>
          <w:b/>
        </w:rPr>
        <w:t>)</w:t>
      </w:r>
    </w:p>
    <w:p w14:paraId="6CB04F1B" w14:textId="77777777" w:rsidR="009E16CC" w:rsidRDefault="009E16CC" w:rsidP="00DF18E4">
      <w:pPr>
        <w:tabs>
          <w:tab w:val="left" w:pos="3544"/>
          <w:tab w:val="left" w:pos="4395"/>
          <w:tab w:val="left" w:pos="9072"/>
        </w:tabs>
        <w:jc w:val="both"/>
        <w:rPr>
          <w:b/>
        </w:rPr>
      </w:pPr>
      <w:r>
        <w:rPr>
          <w:b/>
        </w:rPr>
        <w:tab/>
      </w:r>
      <w:r>
        <w:rPr>
          <w:b/>
        </w:rPr>
        <w:tab/>
      </w:r>
      <w:r>
        <w:rPr>
          <w:b/>
        </w:rPr>
        <w:sym w:font="Symbol" w:char="F0AE"/>
      </w:r>
      <w:r>
        <w:rPr>
          <w:b/>
        </w:rPr>
        <w:t xml:space="preserve"> HCHO + H</w:t>
      </w:r>
      <w:r w:rsidRPr="009E16CC">
        <w:rPr>
          <w:b/>
          <w:vertAlign w:val="subscript"/>
        </w:rPr>
        <w:t>2</w:t>
      </w:r>
      <w:r>
        <w:rPr>
          <w:b/>
        </w:rPr>
        <w:t>O</w:t>
      </w:r>
      <w:r w:rsidRPr="009E16CC">
        <w:rPr>
          <w:b/>
          <w:vertAlign w:val="subscript"/>
        </w:rPr>
        <w:t>2</w:t>
      </w:r>
      <w:r>
        <w:rPr>
          <w:b/>
        </w:rPr>
        <w:tab/>
        <w:t>(1b)</w:t>
      </w:r>
    </w:p>
    <w:p w14:paraId="42D7A144" w14:textId="77777777" w:rsidR="009E16CC" w:rsidRDefault="009E16CC" w:rsidP="00DF18E4">
      <w:pPr>
        <w:tabs>
          <w:tab w:val="left" w:pos="3544"/>
          <w:tab w:val="left" w:pos="4395"/>
          <w:tab w:val="left" w:pos="9072"/>
        </w:tabs>
        <w:jc w:val="both"/>
        <w:rPr>
          <w:b/>
        </w:rPr>
      </w:pPr>
      <w:r>
        <w:rPr>
          <w:b/>
        </w:rPr>
        <w:tab/>
      </w:r>
      <w:r>
        <w:rPr>
          <w:b/>
        </w:rPr>
        <w:tab/>
      </w:r>
      <w:r>
        <w:rPr>
          <w:b/>
        </w:rPr>
        <w:sym w:font="Symbol" w:char="F0AE"/>
      </w:r>
      <w:r>
        <w:rPr>
          <w:b/>
        </w:rPr>
        <w:t xml:space="preserve"> HC(O)OH + H</w:t>
      </w:r>
      <w:r w:rsidRPr="009E16CC">
        <w:rPr>
          <w:b/>
          <w:vertAlign w:val="subscript"/>
        </w:rPr>
        <w:t>2</w:t>
      </w:r>
      <w:r>
        <w:rPr>
          <w:b/>
        </w:rPr>
        <w:t>O</w:t>
      </w:r>
      <w:r>
        <w:rPr>
          <w:b/>
        </w:rPr>
        <w:tab/>
        <w:t>(1c)</w:t>
      </w:r>
    </w:p>
    <w:p w14:paraId="65527B41" w14:textId="77777777" w:rsidR="009E16CC" w:rsidRDefault="009E16CC" w:rsidP="009E16CC">
      <w:pPr>
        <w:tabs>
          <w:tab w:val="left" w:pos="3544"/>
          <w:tab w:val="left" w:pos="5103"/>
          <w:tab w:val="left" w:pos="9072"/>
        </w:tabs>
        <w:jc w:val="both"/>
        <w:rPr>
          <w:b/>
        </w:rPr>
      </w:pPr>
    </w:p>
    <w:p w14:paraId="284F4661" w14:textId="77777777" w:rsidR="00B91DA1" w:rsidRDefault="00B91DA1" w:rsidP="00DF18E4">
      <w:pPr>
        <w:numPr>
          <w:ilvl w:val="0"/>
          <w:numId w:val="2"/>
        </w:numPr>
        <w:tabs>
          <w:tab w:val="left" w:pos="2835"/>
          <w:tab w:val="left" w:pos="5387"/>
          <w:tab w:val="left" w:pos="9072"/>
        </w:tabs>
        <w:ind w:left="0" w:firstLine="0"/>
        <w:jc w:val="both"/>
        <w:rPr>
          <w:b/>
        </w:rPr>
      </w:pPr>
      <w:r>
        <w:rPr>
          <w:b/>
        </w:rPr>
        <w:t xml:space="preserve"> </w:t>
      </w:r>
      <w:r>
        <w:rPr>
          <w:b/>
        </w:rPr>
        <w:tab/>
        <w:t>CH</w:t>
      </w:r>
      <w:r>
        <w:rPr>
          <w:b/>
          <w:vertAlign w:val="subscript"/>
        </w:rPr>
        <w:t>2</w:t>
      </w:r>
      <w:r>
        <w:rPr>
          <w:b/>
        </w:rPr>
        <w:t>OO + (H</w:t>
      </w:r>
      <w:r>
        <w:rPr>
          <w:b/>
          <w:vertAlign w:val="subscript"/>
        </w:rPr>
        <w:t>2</w:t>
      </w:r>
      <w:r>
        <w:rPr>
          <w:b/>
        </w:rPr>
        <w:t>O)</w:t>
      </w:r>
      <w:r w:rsidRPr="00B91DA1">
        <w:rPr>
          <w:b/>
          <w:vertAlign w:val="subscript"/>
        </w:rPr>
        <w:t>2</w:t>
      </w:r>
      <w:r>
        <w:rPr>
          <w:b/>
        </w:rPr>
        <w:t xml:space="preserve"> </w:t>
      </w:r>
      <w:r>
        <w:rPr>
          <w:b/>
        </w:rPr>
        <w:sym w:font="Symbol" w:char="F0AE"/>
      </w:r>
      <w:r>
        <w:rPr>
          <w:b/>
        </w:rPr>
        <w:t xml:space="preserve"> </w:t>
      </w:r>
      <w:r w:rsidR="009E16CC">
        <w:rPr>
          <w:b/>
        </w:rPr>
        <w:t>HOCH</w:t>
      </w:r>
      <w:r w:rsidR="009E16CC" w:rsidRPr="009E16CC">
        <w:rPr>
          <w:b/>
          <w:vertAlign w:val="subscript"/>
        </w:rPr>
        <w:t>2</w:t>
      </w:r>
      <w:r w:rsidR="009E16CC">
        <w:rPr>
          <w:b/>
        </w:rPr>
        <w:t>OOH + H</w:t>
      </w:r>
      <w:r w:rsidR="009E16CC" w:rsidRPr="009E16CC">
        <w:rPr>
          <w:b/>
          <w:vertAlign w:val="subscript"/>
        </w:rPr>
        <w:t>2</w:t>
      </w:r>
      <w:r w:rsidR="009E16CC">
        <w:rPr>
          <w:b/>
        </w:rPr>
        <w:t>O</w:t>
      </w:r>
      <w:r>
        <w:rPr>
          <w:b/>
        </w:rPr>
        <w:tab/>
        <w:t>(2</w:t>
      </w:r>
      <w:r w:rsidR="009E16CC">
        <w:rPr>
          <w:b/>
        </w:rPr>
        <w:t>a</w:t>
      </w:r>
      <w:r>
        <w:rPr>
          <w:b/>
        </w:rPr>
        <w:t>)</w:t>
      </w:r>
    </w:p>
    <w:p w14:paraId="044BC1F2" w14:textId="77777777" w:rsidR="009E16CC" w:rsidRDefault="009E16CC" w:rsidP="00DF18E4">
      <w:pPr>
        <w:numPr>
          <w:ilvl w:val="0"/>
          <w:numId w:val="2"/>
        </w:numPr>
        <w:tabs>
          <w:tab w:val="left" w:pos="3544"/>
          <w:tab w:val="left" w:pos="4678"/>
          <w:tab w:val="left" w:pos="9072"/>
        </w:tabs>
        <w:ind w:left="0" w:firstLine="0"/>
        <w:jc w:val="both"/>
        <w:rPr>
          <w:b/>
        </w:rPr>
      </w:pPr>
      <w:r>
        <w:rPr>
          <w:b/>
        </w:rPr>
        <w:tab/>
      </w:r>
      <w:r>
        <w:rPr>
          <w:b/>
        </w:rPr>
        <w:tab/>
      </w:r>
      <w:r>
        <w:rPr>
          <w:b/>
        </w:rPr>
        <w:sym w:font="Symbol" w:char="F0AE"/>
      </w:r>
      <w:r>
        <w:rPr>
          <w:b/>
        </w:rPr>
        <w:t xml:space="preserve"> HCHO + H</w:t>
      </w:r>
      <w:r w:rsidRPr="009E16CC">
        <w:rPr>
          <w:b/>
          <w:vertAlign w:val="subscript"/>
        </w:rPr>
        <w:t>2</w:t>
      </w:r>
      <w:r>
        <w:rPr>
          <w:b/>
        </w:rPr>
        <w:t>O</w:t>
      </w:r>
      <w:r w:rsidRPr="009E16CC">
        <w:rPr>
          <w:b/>
          <w:vertAlign w:val="subscript"/>
        </w:rPr>
        <w:t>2</w:t>
      </w:r>
      <w:r>
        <w:rPr>
          <w:b/>
        </w:rPr>
        <w:t xml:space="preserve"> + H</w:t>
      </w:r>
      <w:r w:rsidRPr="009E16CC">
        <w:rPr>
          <w:b/>
          <w:vertAlign w:val="subscript"/>
        </w:rPr>
        <w:t>2</w:t>
      </w:r>
      <w:r>
        <w:rPr>
          <w:b/>
        </w:rPr>
        <w:t>O</w:t>
      </w:r>
      <w:r>
        <w:rPr>
          <w:b/>
        </w:rPr>
        <w:tab/>
        <w:t>(2b)</w:t>
      </w:r>
    </w:p>
    <w:p w14:paraId="695C180F" w14:textId="77777777" w:rsidR="009E16CC" w:rsidRDefault="009E16CC" w:rsidP="00DF18E4">
      <w:pPr>
        <w:numPr>
          <w:ilvl w:val="0"/>
          <w:numId w:val="2"/>
        </w:numPr>
        <w:tabs>
          <w:tab w:val="left" w:pos="3544"/>
          <w:tab w:val="left" w:pos="4678"/>
          <w:tab w:val="left" w:pos="9072"/>
        </w:tabs>
        <w:ind w:left="0" w:firstLine="0"/>
        <w:jc w:val="both"/>
        <w:rPr>
          <w:b/>
        </w:rPr>
      </w:pPr>
      <w:r>
        <w:rPr>
          <w:b/>
        </w:rPr>
        <w:tab/>
      </w:r>
      <w:r>
        <w:rPr>
          <w:b/>
        </w:rPr>
        <w:tab/>
      </w:r>
      <w:r>
        <w:rPr>
          <w:b/>
        </w:rPr>
        <w:sym w:font="Symbol" w:char="F0AE"/>
      </w:r>
      <w:r>
        <w:rPr>
          <w:b/>
        </w:rPr>
        <w:t xml:space="preserve"> HC(O)OH + 2H</w:t>
      </w:r>
      <w:r w:rsidRPr="009E16CC">
        <w:rPr>
          <w:b/>
          <w:vertAlign w:val="subscript"/>
        </w:rPr>
        <w:t>2</w:t>
      </w:r>
      <w:r>
        <w:rPr>
          <w:b/>
        </w:rPr>
        <w:t>O</w:t>
      </w:r>
      <w:r>
        <w:rPr>
          <w:b/>
        </w:rPr>
        <w:tab/>
        <w:t>(2c)</w:t>
      </w:r>
    </w:p>
    <w:p w14:paraId="0D13EBAB" w14:textId="77777777" w:rsidR="00B91DA1" w:rsidRDefault="00B91DA1" w:rsidP="00B91DA1">
      <w:pPr>
        <w:numPr>
          <w:ilvl w:val="0"/>
          <w:numId w:val="2"/>
        </w:numPr>
        <w:tabs>
          <w:tab w:val="left" w:pos="3009"/>
        </w:tabs>
        <w:jc w:val="both"/>
      </w:pPr>
    </w:p>
    <w:p w14:paraId="5044A808" w14:textId="77777777" w:rsidR="00083A9E" w:rsidRPr="00B91DA1" w:rsidRDefault="00B91DA1" w:rsidP="00B91DA1">
      <w:pPr>
        <w:numPr>
          <w:ilvl w:val="0"/>
          <w:numId w:val="2"/>
        </w:numPr>
        <w:tabs>
          <w:tab w:val="center" w:pos="4680"/>
        </w:tabs>
        <w:ind w:left="0" w:right="-700" w:firstLine="0"/>
        <w:jc w:val="center"/>
        <w:rPr>
          <w:b/>
        </w:rPr>
      </w:pPr>
      <w:r>
        <w:rPr>
          <w:b/>
        </w:rPr>
        <w:t>Rate coefficient data</w:t>
      </w:r>
    </w:p>
    <w:p w14:paraId="74EF1B7C" w14:textId="77777777" w:rsidR="00083A9E" w:rsidRPr="001D3940" w:rsidRDefault="00083A9E" w:rsidP="00083A9E">
      <w:pPr>
        <w:tabs>
          <w:tab w:val="center" w:pos="4680"/>
        </w:tabs>
        <w:jc w:val="both"/>
        <w:rPr>
          <w:b/>
          <w:color w:val="auto"/>
        </w:rPr>
      </w:pPr>
    </w:p>
    <w:tbl>
      <w:tblPr>
        <w:tblW w:w="0" w:type="auto"/>
        <w:tblInd w:w="578" w:type="dxa"/>
        <w:tblLayout w:type="fixed"/>
        <w:tblLook w:val="0000" w:firstRow="0" w:lastRow="0" w:firstColumn="0" w:lastColumn="0" w:noHBand="0" w:noVBand="0"/>
      </w:tblPr>
      <w:tblGrid>
        <w:gridCol w:w="3216"/>
        <w:gridCol w:w="992"/>
        <w:gridCol w:w="142"/>
        <w:gridCol w:w="2126"/>
        <w:gridCol w:w="141"/>
        <w:gridCol w:w="1985"/>
        <w:gridCol w:w="284"/>
      </w:tblGrid>
      <w:tr w:rsidR="00083A9E" w:rsidRPr="001D3940" w14:paraId="3EB3F369" w14:textId="77777777" w:rsidTr="006210EF">
        <w:trPr>
          <w:gridAfter w:val="1"/>
          <w:wAfter w:w="284" w:type="dxa"/>
        </w:trPr>
        <w:tc>
          <w:tcPr>
            <w:tcW w:w="3216" w:type="dxa"/>
            <w:tcBorders>
              <w:top w:val="double" w:sz="1" w:space="0" w:color="000000"/>
              <w:bottom w:val="single" w:sz="4" w:space="0" w:color="000000"/>
            </w:tcBorders>
            <w:shd w:val="clear" w:color="auto" w:fill="auto"/>
          </w:tcPr>
          <w:p w14:paraId="13FE696C" w14:textId="77777777" w:rsidR="00083A9E" w:rsidRPr="001D3940" w:rsidRDefault="00083A9E"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1134" w:type="dxa"/>
            <w:gridSpan w:val="2"/>
            <w:tcBorders>
              <w:top w:val="double" w:sz="1" w:space="0" w:color="000000"/>
              <w:bottom w:val="single" w:sz="4" w:space="0" w:color="000000"/>
            </w:tcBorders>
            <w:shd w:val="clear" w:color="auto" w:fill="auto"/>
          </w:tcPr>
          <w:p w14:paraId="221F1400"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Temp./K</w:t>
            </w:r>
          </w:p>
        </w:tc>
        <w:tc>
          <w:tcPr>
            <w:tcW w:w="2267" w:type="dxa"/>
            <w:gridSpan w:val="2"/>
            <w:tcBorders>
              <w:top w:val="double" w:sz="1" w:space="0" w:color="000000"/>
              <w:bottom w:val="single" w:sz="4" w:space="0" w:color="000000"/>
            </w:tcBorders>
            <w:shd w:val="clear" w:color="auto" w:fill="auto"/>
          </w:tcPr>
          <w:p w14:paraId="1D4F0D95"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14:paraId="7CC8CED6" w14:textId="77777777" w:rsidR="00083A9E" w:rsidRPr="001D3940" w:rsidRDefault="00083A9E" w:rsidP="00D8581C">
            <w:pPr>
              <w:tabs>
                <w:tab w:val="center" w:pos="4680"/>
              </w:tabs>
              <w:snapToGrid w:val="0"/>
              <w:spacing w:before="120" w:after="120"/>
              <w:ind w:left="-108"/>
              <w:jc w:val="both"/>
              <w:rPr>
                <w:color w:val="auto"/>
              </w:rPr>
            </w:pPr>
            <w:r w:rsidRPr="001D3940">
              <w:rPr>
                <w:color w:val="auto"/>
                <w:sz w:val="20"/>
              </w:rPr>
              <w:t>Technique/Comments</w:t>
            </w:r>
          </w:p>
        </w:tc>
      </w:tr>
      <w:tr w:rsidR="006210EF" w:rsidRPr="006210EF" w14:paraId="65D964BA" w14:textId="77777777" w:rsidTr="006210EF">
        <w:trPr>
          <w:gridAfter w:val="1"/>
          <w:wAfter w:w="284" w:type="dxa"/>
        </w:trPr>
        <w:tc>
          <w:tcPr>
            <w:tcW w:w="3216" w:type="dxa"/>
            <w:tcBorders>
              <w:top w:val="single" w:sz="4" w:space="0" w:color="000000"/>
            </w:tcBorders>
            <w:shd w:val="clear" w:color="auto" w:fill="auto"/>
          </w:tcPr>
          <w:p w14:paraId="188DCCCD" w14:textId="77777777" w:rsidR="00083A9E" w:rsidRPr="006210EF" w:rsidRDefault="00083A9E" w:rsidP="006210EF">
            <w:pPr>
              <w:spacing w:before="120"/>
              <w:rPr>
                <w:i/>
                <w:color w:val="auto"/>
                <w:sz w:val="20"/>
              </w:rPr>
            </w:pPr>
            <w:r w:rsidRPr="006210EF">
              <w:rPr>
                <w:i/>
                <w:color w:val="auto"/>
                <w:sz w:val="20"/>
              </w:rPr>
              <w:t>Absolute Rate Coefficients</w:t>
            </w:r>
          </w:p>
        </w:tc>
        <w:tc>
          <w:tcPr>
            <w:tcW w:w="992" w:type="dxa"/>
            <w:tcBorders>
              <w:top w:val="single" w:sz="4" w:space="0" w:color="000000"/>
            </w:tcBorders>
            <w:shd w:val="clear" w:color="auto" w:fill="auto"/>
          </w:tcPr>
          <w:p w14:paraId="12F69D28" w14:textId="77777777" w:rsidR="00083A9E" w:rsidRPr="006210EF" w:rsidRDefault="00083A9E" w:rsidP="006210EF">
            <w:pPr>
              <w:tabs>
                <w:tab w:val="center" w:pos="4680"/>
              </w:tabs>
              <w:snapToGrid w:val="0"/>
              <w:jc w:val="both"/>
              <w:rPr>
                <w:color w:val="auto"/>
                <w:sz w:val="20"/>
              </w:rPr>
            </w:pPr>
          </w:p>
        </w:tc>
        <w:tc>
          <w:tcPr>
            <w:tcW w:w="2409" w:type="dxa"/>
            <w:gridSpan w:val="3"/>
            <w:tcBorders>
              <w:top w:val="single" w:sz="4" w:space="0" w:color="000000"/>
            </w:tcBorders>
            <w:shd w:val="clear" w:color="auto" w:fill="auto"/>
          </w:tcPr>
          <w:p w14:paraId="19F7C25A" w14:textId="77777777" w:rsidR="00083A9E" w:rsidRPr="006210EF" w:rsidRDefault="00083A9E" w:rsidP="006210EF">
            <w:pPr>
              <w:tabs>
                <w:tab w:val="center" w:pos="4680"/>
              </w:tabs>
              <w:snapToGrid w:val="0"/>
              <w:jc w:val="both"/>
              <w:rPr>
                <w:color w:val="auto"/>
                <w:sz w:val="20"/>
              </w:rPr>
            </w:pPr>
          </w:p>
        </w:tc>
        <w:tc>
          <w:tcPr>
            <w:tcW w:w="1985" w:type="dxa"/>
            <w:tcBorders>
              <w:top w:val="single" w:sz="4" w:space="0" w:color="000000"/>
            </w:tcBorders>
            <w:shd w:val="clear" w:color="auto" w:fill="auto"/>
          </w:tcPr>
          <w:p w14:paraId="50E7C0B9" w14:textId="77777777" w:rsidR="00083A9E" w:rsidRPr="006210EF" w:rsidRDefault="00083A9E" w:rsidP="006210EF">
            <w:pPr>
              <w:tabs>
                <w:tab w:val="center" w:pos="4680"/>
              </w:tabs>
              <w:snapToGrid w:val="0"/>
              <w:jc w:val="both"/>
              <w:rPr>
                <w:color w:val="auto"/>
                <w:sz w:val="20"/>
              </w:rPr>
            </w:pPr>
          </w:p>
        </w:tc>
      </w:tr>
      <w:tr w:rsidR="00B91DA1" w:rsidRPr="001D3940" w14:paraId="7CF85508" w14:textId="77777777" w:rsidTr="006210EF">
        <w:tc>
          <w:tcPr>
            <w:tcW w:w="3216" w:type="dxa"/>
            <w:shd w:val="clear" w:color="auto" w:fill="auto"/>
          </w:tcPr>
          <w:p w14:paraId="5FFA2682" w14:textId="77777777" w:rsidR="00B91DA1" w:rsidRPr="006210EF" w:rsidRDefault="00C62CCF" w:rsidP="006210EF">
            <w:pPr>
              <w:overflowPunct w:val="0"/>
              <w:autoSpaceDE w:val="0"/>
              <w:autoSpaceDN w:val="0"/>
              <w:adjustRightInd w:val="0"/>
              <w:ind w:right="-610"/>
              <w:jc w:val="both"/>
              <w:rPr>
                <w:color w:val="auto"/>
                <w:sz w:val="20"/>
                <w:szCs w:val="24"/>
                <w:lang w:eastAsia="en-US"/>
              </w:rPr>
            </w:pPr>
            <w:r>
              <w:rPr>
                <w:i/>
                <w:color w:val="auto"/>
                <w:sz w:val="20"/>
              </w:rPr>
              <w:t>k</w:t>
            </w:r>
            <w:r w:rsidRPr="00C62CCF">
              <w:rPr>
                <w:color w:val="auto"/>
                <w:sz w:val="20"/>
                <w:vertAlign w:val="subscript"/>
              </w:rPr>
              <w:t>1</w:t>
            </w:r>
            <w:r>
              <w:rPr>
                <w:color w:val="auto"/>
                <w:sz w:val="20"/>
              </w:rPr>
              <w:t xml:space="preserve"> </w:t>
            </w:r>
            <w:r w:rsidR="00B91DA1" w:rsidRPr="006210EF">
              <w:rPr>
                <w:color w:val="auto"/>
                <w:sz w:val="20"/>
              </w:rPr>
              <w:t xml:space="preserve">&lt; 4.0 </w:t>
            </w:r>
            <w:r w:rsidR="006210EF" w:rsidRPr="006210EF">
              <w:rPr>
                <w:rFonts w:ascii="Symbol" w:eastAsia="Symbol" w:hAnsi="Symbol" w:cs="Symbol"/>
                <w:color w:val="auto"/>
                <w:sz w:val="20"/>
              </w:rPr>
              <w:t></w:t>
            </w:r>
            <w:r w:rsidR="00B91DA1" w:rsidRPr="006210EF">
              <w:rPr>
                <w:color w:val="auto"/>
                <w:sz w:val="20"/>
              </w:rPr>
              <w:t xml:space="preserve"> 10</w:t>
            </w:r>
            <w:r w:rsidR="00B91DA1" w:rsidRPr="006210EF">
              <w:rPr>
                <w:color w:val="auto"/>
                <w:sz w:val="20"/>
                <w:vertAlign w:val="superscript"/>
              </w:rPr>
              <w:t>-15</w:t>
            </w:r>
          </w:p>
        </w:tc>
        <w:tc>
          <w:tcPr>
            <w:tcW w:w="992" w:type="dxa"/>
            <w:shd w:val="clear" w:color="auto" w:fill="auto"/>
          </w:tcPr>
          <w:p w14:paraId="1AA43B7F"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298</w:t>
            </w:r>
          </w:p>
        </w:tc>
        <w:tc>
          <w:tcPr>
            <w:tcW w:w="2268" w:type="dxa"/>
            <w:gridSpan w:val="2"/>
            <w:shd w:val="clear" w:color="auto" w:fill="auto"/>
          </w:tcPr>
          <w:p w14:paraId="298B2AB0" w14:textId="77777777" w:rsidR="00B91DA1" w:rsidRPr="006210EF" w:rsidRDefault="00B91DA1" w:rsidP="006210EF">
            <w:pPr>
              <w:overflowPunct w:val="0"/>
              <w:autoSpaceDE w:val="0"/>
              <w:autoSpaceDN w:val="0"/>
              <w:adjustRightInd w:val="0"/>
              <w:ind w:right="-610"/>
              <w:rPr>
                <w:color w:val="auto"/>
                <w:sz w:val="20"/>
                <w:szCs w:val="24"/>
                <w:lang w:eastAsia="en-US"/>
              </w:rPr>
            </w:pPr>
            <w:proofErr w:type="spellStart"/>
            <w:r w:rsidRPr="006210EF">
              <w:rPr>
                <w:color w:val="auto"/>
                <w:sz w:val="20"/>
              </w:rPr>
              <w:t>Welz</w:t>
            </w:r>
            <w:proofErr w:type="spellEnd"/>
            <w:r w:rsidRPr="006210EF">
              <w:rPr>
                <w:color w:val="auto"/>
                <w:sz w:val="20"/>
              </w:rPr>
              <w:t xml:space="preserve"> et al., 2012</w:t>
            </w:r>
          </w:p>
        </w:tc>
        <w:tc>
          <w:tcPr>
            <w:tcW w:w="2410" w:type="dxa"/>
            <w:gridSpan w:val="3"/>
            <w:shd w:val="clear" w:color="auto" w:fill="auto"/>
          </w:tcPr>
          <w:p w14:paraId="5AF17A94"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PLP-PIMS(a)</w:t>
            </w:r>
          </w:p>
        </w:tc>
      </w:tr>
      <w:tr w:rsidR="00B91DA1" w:rsidRPr="001D3940" w14:paraId="765D1C68" w14:textId="77777777" w:rsidTr="006210EF">
        <w:tc>
          <w:tcPr>
            <w:tcW w:w="3216" w:type="dxa"/>
            <w:shd w:val="clear" w:color="auto" w:fill="auto"/>
          </w:tcPr>
          <w:p w14:paraId="5DE308DE" w14:textId="77777777" w:rsidR="00B91DA1" w:rsidRPr="006210EF" w:rsidRDefault="00C62CCF" w:rsidP="006210EF">
            <w:pPr>
              <w:overflowPunct w:val="0"/>
              <w:autoSpaceDE w:val="0"/>
              <w:autoSpaceDN w:val="0"/>
              <w:adjustRightInd w:val="0"/>
              <w:ind w:right="-610"/>
              <w:jc w:val="both"/>
              <w:rPr>
                <w:iCs/>
                <w:color w:val="auto"/>
                <w:sz w:val="20"/>
                <w:szCs w:val="24"/>
                <w:lang w:eastAsia="en-US"/>
              </w:rPr>
            </w:pPr>
            <w:r>
              <w:rPr>
                <w:i/>
                <w:color w:val="auto"/>
                <w:sz w:val="20"/>
              </w:rPr>
              <w:t>k</w:t>
            </w:r>
            <w:r w:rsidRPr="00C62CCF">
              <w:rPr>
                <w:color w:val="auto"/>
                <w:sz w:val="20"/>
                <w:vertAlign w:val="subscript"/>
              </w:rPr>
              <w:t>1</w:t>
            </w:r>
            <w:r w:rsidRPr="00C62CCF">
              <w:rPr>
                <w:color w:val="auto"/>
                <w:sz w:val="20"/>
              </w:rPr>
              <w:t xml:space="preserve"> </w:t>
            </w:r>
            <w:r w:rsidR="00B91DA1" w:rsidRPr="006210EF">
              <w:rPr>
                <w:iCs/>
                <w:color w:val="auto"/>
                <w:sz w:val="20"/>
              </w:rPr>
              <w:t xml:space="preserve">&lt; 9 </w:t>
            </w:r>
            <w:r w:rsidR="006210EF" w:rsidRPr="006210EF">
              <w:rPr>
                <w:rFonts w:ascii="Symbol" w:eastAsia="Symbol" w:hAnsi="Symbol" w:cs="Symbol"/>
                <w:color w:val="auto"/>
                <w:sz w:val="20"/>
              </w:rPr>
              <w:t></w:t>
            </w:r>
            <w:r w:rsidR="00B91DA1" w:rsidRPr="006210EF">
              <w:rPr>
                <w:color w:val="auto"/>
                <w:sz w:val="20"/>
              </w:rPr>
              <w:t xml:space="preserve"> 10</w:t>
            </w:r>
            <w:r w:rsidR="00B91DA1" w:rsidRPr="006210EF">
              <w:rPr>
                <w:color w:val="auto"/>
                <w:sz w:val="20"/>
                <w:vertAlign w:val="superscript"/>
              </w:rPr>
              <w:t>-17</w:t>
            </w:r>
          </w:p>
        </w:tc>
        <w:tc>
          <w:tcPr>
            <w:tcW w:w="992" w:type="dxa"/>
            <w:shd w:val="clear" w:color="auto" w:fill="auto"/>
          </w:tcPr>
          <w:p w14:paraId="69D81B51"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295</w:t>
            </w:r>
          </w:p>
        </w:tc>
        <w:tc>
          <w:tcPr>
            <w:tcW w:w="2268" w:type="dxa"/>
            <w:gridSpan w:val="2"/>
            <w:shd w:val="clear" w:color="auto" w:fill="auto"/>
          </w:tcPr>
          <w:p w14:paraId="229CD722"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Stone et al., 2014</w:t>
            </w:r>
          </w:p>
        </w:tc>
        <w:tc>
          <w:tcPr>
            <w:tcW w:w="2410" w:type="dxa"/>
            <w:gridSpan w:val="3"/>
            <w:shd w:val="clear" w:color="auto" w:fill="auto"/>
          </w:tcPr>
          <w:p w14:paraId="75F5EB9F"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PLP-LIF/PIMS (b)</w:t>
            </w:r>
          </w:p>
        </w:tc>
      </w:tr>
      <w:tr w:rsidR="00147135" w:rsidRPr="001D3940" w14:paraId="1C8B45AB" w14:textId="77777777" w:rsidTr="006210EF">
        <w:tc>
          <w:tcPr>
            <w:tcW w:w="3216" w:type="dxa"/>
            <w:shd w:val="clear" w:color="auto" w:fill="auto"/>
          </w:tcPr>
          <w:p w14:paraId="6D17C67A" w14:textId="77777777" w:rsidR="00147135" w:rsidRDefault="00147135" w:rsidP="00147135">
            <w:pPr>
              <w:overflowPunct w:val="0"/>
              <w:autoSpaceDE w:val="0"/>
              <w:autoSpaceDN w:val="0"/>
              <w:adjustRightInd w:val="0"/>
              <w:ind w:right="-610"/>
              <w:jc w:val="both"/>
              <w:rPr>
                <w:i/>
                <w:color w:val="auto"/>
                <w:sz w:val="20"/>
              </w:rPr>
            </w:pPr>
            <w:r w:rsidRPr="006210EF">
              <w:rPr>
                <w:i/>
                <w:iCs/>
                <w:color w:val="auto"/>
                <w:sz w:val="20"/>
              </w:rPr>
              <w:t>k</w:t>
            </w:r>
            <w:r>
              <w:rPr>
                <w:iCs/>
                <w:color w:val="auto"/>
                <w:sz w:val="20"/>
                <w:vertAlign w:val="subscript"/>
              </w:rPr>
              <w:t>1</w:t>
            </w:r>
            <w:r w:rsidRPr="006210EF">
              <w:rPr>
                <w:iCs/>
                <w:color w:val="auto"/>
                <w:sz w:val="20"/>
              </w:rPr>
              <w:t xml:space="preserve"> = (</w:t>
            </w:r>
            <w:r>
              <w:rPr>
                <w:iCs/>
                <w:color w:val="auto"/>
                <w:sz w:val="20"/>
              </w:rPr>
              <w:t>3.2</w:t>
            </w:r>
            <w:r w:rsidRPr="006210EF">
              <w:rPr>
                <w:iCs/>
                <w:color w:val="auto"/>
                <w:sz w:val="20"/>
              </w:rPr>
              <w:t xml:space="preserve"> ± </w:t>
            </w:r>
            <w:r>
              <w:rPr>
                <w:iCs/>
                <w:color w:val="auto"/>
                <w:sz w:val="20"/>
              </w:rPr>
              <w:t>1.2</w:t>
            </w:r>
            <w:r w:rsidRPr="006210EF">
              <w:rPr>
                <w:iCs/>
                <w:color w:val="auto"/>
                <w:sz w:val="20"/>
              </w:rPr>
              <w:t xml:space="preserve">) </w:t>
            </w:r>
            <w:r w:rsidRPr="006210EF">
              <w:rPr>
                <w:rFonts w:ascii="Symbol" w:eastAsia="Symbol" w:hAnsi="Symbol" w:cs="Symbol"/>
                <w:color w:val="auto"/>
                <w:sz w:val="20"/>
              </w:rPr>
              <w:t></w:t>
            </w:r>
            <w:r w:rsidRPr="006210EF">
              <w:rPr>
                <w:color w:val="auto"/>
                <w:sz w:val="20"/>
              </w:rPr>
              <w:t xml:space="preserve"> 10</w:t>
            </w:r>
            <w:r w:rsidRPr="006210EF">
              <w:rPr>
                <w:color w:val="auto"/>
                <w:sz w:val="20"/>
                <w:vertAlign w:val="superscript"/>
              </w:rPr>
              <w:t>-1</w:t>
            </w:r>
            <w:r>
              <w:rPr>
                <w:color w:val="auto"/>
                <w:sz w:val="20"/>
                <w:vertAlign w:val="superscript"/>
              </w:rPr>
              <w:t>6</w:t>
            </w:r>
          </w:p>
        </w:tc>
        <w:tc>
          <w:tcPr>
            <w:tcW w:w="992" w:type="dxa"/>
            <w:shd w:val="clear" w:color="auto" w:fill="auto"/>
          </w:tcPr>
          <w:p w14:paraId="44262A89" w14:textId="77777777" w:rsidR="00147135" w:rsidRPr="006210EF" w:rsidRDefault="00147135" w:rsidP="006210EF">
            <w:pPr>
              <w:overflowPunct w:val="0"/>
              <w:autoSpaceDE w:val="0"/>
              <w:autoSpaceDN w:val="0"/>
              <w:adjustRightInd w:val="0"/>
              <w:ind w:right="-610"/>
              <w:rPr>
                <w:color w:val="auto"/>
                <w:sz w:val="20"/>
              </w:rPr>
            </w:pPr>
            <w:r>
              <w:rPr>
                <w:color w:val="auto"/>
                <w:sz w:val="20"/>
              </w:rPr>
              <w:t>297</w:t>
            </w:r>
          </w:p>
        </w:tc>
        <w:tc>
          <w:tcPr>
            <w:tcW w:w="2268" w:type="dxa"/>
            <w:gridSpan w:val="2"/>
            <w:shd w:val="clear" w:color="auto" w:fill="auto"/>
          </w:tcPr>
          <w:p w14:paraId="073A991F" w14:textId="77777777" w:rsidR="00147135" w:rsidRPr="006210EF" w:rsidRDefault="00147135" w:rsidP="006210EF">
            <w:pPr>
              <w:overflowPunct w:val="0"/>
              <w:autoSpaceDE w:val="0"/>
              <w:autoSpaceDN w:val="0"/>
              <w:adjustRightInd w:val="0"/>
              <w:ind w:right="-610"/>
              <w:rPr>
                <w:color w:val="auto"/>
                <w:sz w:val="20"/>
              </w:rPr>
            </w:pPr>
            <w:r>
              <w:rPr>
                <w:color w:val="auto"/>
                <w:sz w:val="20"/>
              </w:rPr>
              <w:t>Berndt et al., 2015</w:t>
            </w:r>
          </w:p>
        </w:tc>
        <w:tc>
          <w:tcPr>
            <w:tcW w:w="2410" w:type="dxa"/>
            <w:gridSpan w:val="3"/>
            <w:shd w:val="clear" w:color="auto" w:fill="auto"/>
          </w:tcPr>
          <w:p w14:paraId="6E10FB72" w14:textId="77777777" w:rsidR="00147135" w:rsidRPr="006210EF" w:rsidRDefault="00147135" w:rsidP="006210EF">
            <w:pPr>
              <w:overflowPunct w:val="0"/>
              <w:autoSpaceDE w:val="0"/>
              <w:autoSpaceDN w:val="0"/>
              <w:adjustRightInd w:val="0"/>
              <w:ind w:right="-610"/>
              <w:rPr>
                <w:color w:val="auto"/>
                <w:sz w:val="20"/>
              </w:rPr>
            </w:pPr>
            <w:r w:rsidRPr="00147135">
              <w:rPr>
                <w:color w:val="auto"/>
                <w:sz w:val="20"/>
              </w:rPr>
              <w:t>Free-Jet FR-TOF-MS</w:t>
            </w:r>
            <w:r>
              <w:rPr>
                <w:color w:val="auto"/>
                <w:sz w:val="20"/>
              </w:rPr>
              <w:t xml:space="preserve"> (c)</w:t>
            </w:r>
          </w:p>
        </w:tc>
      </w:tr>
      <w:tr w:rsidR="00B91DA1" w:rsidRPr="001D3940" w14:paraId="4E4B0356" w14:textId="77777777" w:rsidTr="006210EF">
        <w:tc>
          <w:tcPr>
            <w:tcW w:w="3216" w:type="dxa"/>
            <w:shd w:val="clear" w:color="auto" w:fill="auto"/>
          </w:tcPr>
          <w:p w14:paraId="25FC7156" w14:textId="77777777" w:rsidR="00B91DA1" w:rsidRPr="006210EF" w:rsidRDefault="00B91DA1" w:rsidP="006210EF">
            <w:pPr>
              <w:overflowPunct w:val="0"/>
              <w:autoSpaceDE w:val="0"/>
              <w:autoSpaceDN w:val="0"/>
              <w:adjustRightInd w:val="0"/>
              <w:ind w:right="-610"/>
              <w:jc w:val="both"/>
              <w:rPr>
                <w:iCs/>
                <w:color w:val="auto"/>
                <w:sz w:val="20"/>
                <w:szCs w:val="24"/>
                <w:lang w:eastAsia="en-US"/>
              </w:rPr>
            </w:pPr>
            <w:r w:rsidRPr="006210EF">
              <w:rPr>
                <w:i/>
                <w:iCs/>
                <w:color w:val="auto"/>
                <w:sz w:val="20"/>
              </w:rPr>
              <w:t>k</w:t>
            </w:r>
            <w:r w:rsidRPr="006210EF">
              <w:rPr>
                <w:iCs/>
                <w:color w:val="auto"/>
                <w:sz w:val="20"/>
                <w:vertAlign w:val="subscript"/>
              </w:rPr>
              <w:t>2</w:t>
            </w:r>
            <w:r w:rsidRPr="006210EF">
              <w:rPr>
                <w:iCs/>
                <w:color w:val="auto"/>
                <w:sz w:val="20"/>
              </w:rPr>
              <w:t xml:space="preserve"> = (6.5 ± 0.8) </w:t>
            </w:r>
            <w:r w:rsidR="006210EF" w:rsidRPr="006210EF">
              <w:rPr>
                <w:rFonts w:ascii="Symbol" w:eastAsia="Symbol" w:hAnsi="Symbol" w:cs="Symbol"/>
                <w:color w:val="auto"/>
                <w:sz w:val="20"/>
              </w:rPr>
              <w:t></w:t>
            </w:r>
            <w:r w:rsidRPr="006210EF">
              <w:rPr>
                <w:color w:val="auto"/>
                <w:sz w:val="20"/>
              </w:rPr>
              <w:t xml:space="preserve"> 10</w:t>
            </w:r>
            <w:r w:rsidRPr="006210EF">
              <w:rPr>
                <w:color w:val="auto"/>
                <w:sz w:val="20"/>
                <w:vertAlign w:val="superscript"/>
              </w:rPr>
              <w:t>-12</w:t>
            </w:r>
          </w:p>
        </w:tc>
        <w:tc>
          <w:tcPr>
            <w:tcW w:w="992" w:type="dxa"/>
            <w:shd w:val="clear" w:color="auto" w:fill="auto"/>
          </w:tcPr>
          <w:p w14:paraId="6094BD44"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298</w:t>
            </w:r>
          </w:p>
        </w:tc>
        <w:tc>
          <w:tcPr>
            <w:tcW w:w="2268" w:type="dxa"/>
            <w:gridSpan w:val="2"/>
            <w:shd w:val="clear" w:color="auto" w:fill="auto"/>
          </w:tcPr>
          <w:p w14:paraId="452DCF6A"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Chao et al., 2015</w:t>
            </w:r>
          </w:p>
        </w:tc>
        <w:tc>
          <w:tcPr>
            <w:tcW w:w="2410" w:type="dxa"/>
            <w:gridSpan w:val="3"/>
            <w:shd w:val="clear" w:color="auto" w:fill="auto"/>
          </w:tcPr>
          <w:p w14:paraId="097AFD10" w14:textId="77777777" w:rsidR="00B91DA1" w:rsidRPr="006210EF" w:rsidRDefault="00B91DA1" w:rsidP="00147135">
            <w:pPr>
              <w:overflowPunct w:val="0"/>
              <w:autoSpaceDE w:val="0"/>
              <w:autoSpaceDN w:val="0"/>
              <w:adjustRightInd w:val="0"/>
              <w:ind w:right="-610"/>
              <w:rPr>
                <w:color w:val="auto"/>
                <w:sz w:val="20"/>
                <w:szCs w:val="24"/>
                <w:lang w:eastAsia="en-US"/>
              </w:rPr>
            </w:pPr>
            <w:r w:rsidRPr="006210EF">
              <w:rPr>
                <w:color w:val="auto"/>
                <w:sz w:val="20"/>
              </w:rPr>
              <w:t>PLP-UVAS(</w:t>
            </w:r>
            <w:r w:rsidR="00147135">
              <w:rPr>
                <w:color w:val="auto"/>
                <w:sz w:val="20"/>
              </w:rPr>
              <w:t>d</w:t>
            </w:r>
            <w:r w:rsidRPr="006210EF">
              <w:rPr>
                <w:color w:val="auto"/>
                <w:sz w:val="20"/>
              </w:rPr>
              <w:t>)</w:t>
            </w:r>
          </w:p>
        </w:tc>
      </w:tr>
      <w:tr w:rsidR="00B91DA1" w:rsidRPr="001D3940" w14:paraId="3C5F1434" w14:textId="77777777" w:rsidTr="006210EF">
        <w:tc>
          <w:tcPr>
            <w:tcW w:w="3216" w:type="dxa"/>
            <w:shd w:val="clear" w:color="auto" w:fill="auto"/>
          </w:tcPr>
          <w:p w14:paraId="2ECBE0BF" w14:textId="77777777" w:rsidR="00B91DA1" w:rsidRPr="006210EF" w:rsidRDefault="00B91DA1" w:rsidP="006210EF">
            <w:pPr>
              <w:overflowPunct w:val="0"/>
              <w:autoSpaceDE w:val="0"/>
              <w:autoSpaceDN w:val="0"/>
              <w:adjustRightInd w:val="0"/>
              <w:ind w:right="-610"/>
              <w:jc w:val="both"/>
              <w:rPr>
                <w:iCs/>
                <w:color w:val="auto"/>
                <w:sz w:val="20"/>
                <w:szCs w:val="24"/>
                <w:lang w:eastAsia="en-US"/>
              </w:rPr>
            </w:pPr>
            <w:r w:rsidRPr="006210EF">
              <w:rPr>
                <w:i/>
                <w:iCs/>
                <w:color w:val="auto"/>
                <w:sz w:val="20"/>
              </w:rPr>
              <w:t>k</w:t>
            </w:r>
            <w:r w:rsidRPr="006210EF">
              <w:rPr>
                <w:iCs/>
                <w:color w:val="auto"/>
                <w:sz w:val="20"/>
                <w:vertAlign w:val="subscript"/>
              </w:rPr>
              <w:t>2</w:t>
            </w:r>
            <w:r w:rsidRPr="006210EF">
              <w:rPr>
                <w:iCs/>
                <w:color w:val="auto"/>
                <w:sz w:val="20"/>
              </w:rPr>
              <w:t xml:space="preserve"> = (4.2 ± 1.2) </w:t>
            </w:r>
            <w:r w:rsidR="006210EF" w:rsidRPr="006210EF">
              <w:rPr>
                <w:rFonts w:ascii="Symbol" w:eastAsia="Symbol" w:hAnsi="Symbol" w:cs="Symbol"/>
                <w:color w:val="auto"/>
                <w:sz w:val="20"/>
              </w:rPr>
              <w:t></w:t>
            </w:r>
            <w:r w:rsidRPr="006210EF">
              <w:rPr>
                <w:color w:val="auto"/>
                <w:sz w:val="20"/>
              </w:rPr>
              <w:t xml:space="preserve"> 10</w:t>
            </w:r>
            <w:r w:rsidRPr="006210EF">
              <w:rPr>
                <w:color w:val="auto"/>
                <w:sz w:val="20"/>
                <w:vertAlign w:val="superscript"/>
              </w:rPr>
              <w:t>-12</w:t>
            </w:r>
          </w:p>
        </w:tc>
        <w:tc>
          <w:tcPr>
            <w:tcW w:w="992" w:type="dxa"/>
            <w:shd w:val="clear" w:color="auto" w:fill="auto"/>
          </w:tcPr>
          <w:p w14:paraId="5E79C571"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294</w:t>
            </w:r>
          </w:p>
        </w:tc>
        <w:tc>
          <w:tcPr>
            <w:tcW w:w="2268" w:type="dxa"/>
            <w:gridSpan w:val="2"/>
            <w:shd w:val="clear" w:color="auto" w:fill="auto"/>
          </w:tcPr>
          <w:p w14:paraId="009879E3" w14:textId="77777777" w:rsidR="00B91DA1" w:rsidRPr="006210EF" w:rsidRDefault="00B91DA1" w:rsidP="006210EF">
            <w:pPr>
              <w:overflowPunct w:val="0"/>
              <w:autoSpaceDE w:val="0"/>
              <w:autoSpaceDN w:val="0"/>
              <w:adjustRightInd w:val="0"/>
              <w:ind w:right="-610"/>
              <w:rPr>
                <w:color w:val="auto"/>
                <w:sz w:val="20"/>
                <w:szCs w:val="24"/>
                <w:lang w:eastAsia="en-US"/>
              </w:rPr>
            </w:pPr>
            <w:r w:rsidRPr="006210EF">
              <w:rPr>
                <w:color w:val="auto"/>
                <w:sz w:val="20"/>
              </w:rPr>
              <w:t>Lewis et al., 2015</w:t>
            </w:r>
          </w:p>
        </w:tc>
        <w:tc>
          <w:tcPr>
            <w:tcW w:w="2410" w:type="dxa"/>
            <w:gridSpan w:val="3"/>
            <w:shd w:val="clear" w:color="auto" w:fill="auto"/>
          </w:tcPr>
          <w:p w14:paraId="7488BA46" w14:textId="77777777" w:rsidR="00B91DA1" w:rsidRPr="006210EF" w:rsidRDefault="00B91DA1" w:rsidP="00147135">
            <w:pPr>
              <w:overflowPunct w:val="0"/>
              <w:autoSpaceDE w:val="0"/>
              <w:autoSpaceDN w:val="0"/>
              <w:adjustRightInd w:val="0"/>
              <w:ind w:right="-610"/>
              <w:rPr>
                <w:color w:val="auto"/>
                <w:sz w:val="20"/>
                <w:szCs w:val="24"/>
                <w:lang w:eastAsia="en-US"/>
              </w:rPr>
            </w:pPr>
            <w:r w:rsidRPr="006210EF">
              <w:rPr>
                <w:color w:val="auto"/>
                <w:sz w:val="20"/>
              </w:rPr>
              <w:t>PLP-LP-UVAS (</w:t>
            </w:r>
            <w:r w:rsidR="00147135">
              <w:rPr>
                <w:color w:val="auto"/>
                <w:sz w:val="20"/>
              </w:rPr>
              <w:t>e</w:t>
            </w:r>
            <w:r w:rsidRPr="006210EF">
              <w:rPr>
                <w:color w:val="auto"/>
                <w:sz w:val="20"/>
              </w:rPr>
              <w:t>)</w:t>
            </w:r>
          </w:p>
        </w:tc>
      </w:tr>
      <w:tr w:rsidR="00C62CCF" w:rsidRPr="001D3940" w14:paraId="1013E61A" w14:textId="77777777" w:rsidTr="006210EF">
        <w:tc>
          <w:tcPr>
            <w:tcW w:w="3216" w:type="dxa"/>
            <w:shd w:val="clear" w:color="auto" w:fill="auto"/>
          </w:tcPr>
          <w:p w14:paraId="2696EF2D" w14:textId="77777777" w:rsidR="00C62CCF" w:rsidRPr="006210EF" w:rsidRDefault="00C62CCF" w:rsidP="006210EF">
            <w:pPr>
              <w:overflowPunct w:val="0"/>
              <w:autoSpaceDE w:val="0"/>
              <w:autoSpaceDN w:val="0"/>
              <w:adjustRightInd w:val="0"/>
              <w:ind w:right="-610"/>
              <w:jc w:val="both"/>
              <w:rPr>
                <w:i/>
                <w:iCs/>
                <w:color w:val="auto"/>
                <w:sz w:val="20"/>
              </w:rPr>
            </w:pPr>
            <w:r w:rsidRPr="006210EF">
              <w:rPr>
                <w:i/>
                <w:iCs/>
                <w:color w:val="auto"/>
                <w:sz w:val="20"/>
              </w:rPr>
              <w:t>k</w:t>
            </w:r>
            <w:r w:rsidRPr="006210EF">
              <w:rPr>
                <w:iCs/>
                <w:color w:val="auto"/>
                <w:sz w:val="20"/>
                <w:vertAlign w:val="subscript"/>
              </w:rPr>
              <w:t>2</w:t>
            </w:r>
            <w:r w:rsidRPr="006210EF">
              <w:rPr>
                <w:iCs/>
                <w:color w:val="auto"/>
                <w:sz w:val="20"/>
              </w:rPr>
              <w:t xml:space="preserve"> = </w:t>
            </w:r>
            <w:r w:rsidRPr="006210EF">
              <w:rPr>
                <w:color w:val="auto"/>
                <w:sz w:val="20"/>
              </w:rPr>
              <w:t>(7.4 ± 0.6</w:t>
            </w:r>
            <w:r w:rsidRPr="006210EF">
              <w:rPr>
                <w:iCs/>
                <w:color w:val="auto"/>
                <w:sz w:val="20"/>
              </w:rPr>
              <w:t xml:space="preserve">) </w:t>
            </w:r>
            <w:r w:rsidRPr="006210EF">
              <w:rPr>
                <w:rFonts w:ascii="Symbol" w:eastAsia="Symbol" w:hAnsi="Symbol" w:cs="Symbol"/>
                <w:color w:val="auto"/>
                <w:sz w:val="20"/>
              </w:rPr>
              <w:t></w:t>
            </w:r>
            <w:r w:rsidRPr="006210EF">
              <w:rPr>
                <w:color w:val="auto"/>
                <w:sz w:val="20"/>
              </w:rPr>
              <w:t xml:space="preserve"> 10</w:t>
            </w:r>
            <w:r w:rsidRPr="006210EF">
              <w:rPr>
                <w:color w:val="auto"/>
                <w:sz w:val="20"/>
                <w:vertAlign w:val="superscript"/>
              </w:rPr>
              <w:t>-12</w:t>
            </w:r>
          </w:p>
        </w:tc>
        <w:tc>
          <w:tcPr>
            <w:tcW w:w="992" w:type="dxa"/>
            <w:shd w:val="clear" w:color="auto" w:fill="auto"/>
          </w:tcPr>
          <w:p w14:paraId="0762547D" w14:textId="77777777" w:rsidR="00C62CCF" w:rsidRPr="006210EF" w:rsidRDefault="00C62CCF" w:rsidP="006210EF">
            <w:pPr>
              <w:overflowPunct w:val="0"/>
              <w:autoSpaceDE w:val="0"/>
              <w:autoSpaceDN w:val="0"/>
              <w:adjustRightInd w:val="0"/>
              <w:ind w:right="-610"/>
              <w:rPr>
                <w:color w:val="auto"/>
                <w:sz w:val="20"/>
              </w:rPr>
            </w:pPr>
            <w:r w:rsidRPr="006210EF">
              <w:rPr>
                <w:color w:val="auto"/>
                <w:sz w:val="20"/>
              </w:rPr>
              <w:t>298</w:t>
            </w:r>
          </w:p>
        </w:tc>
        <w:tc>
          <w:tcPr>
            <w:tcW w:w="2268" w:type="dxa"/>
            <w:gridSpan w:val="2"/>
            <w:shd w:val="clear" w:color="auto" w:fill="auto"/>
          </w:tcPr>
          <w:p w14:paraId="624FE94B" w14:textId="77777777" w:rsidR="00C62CCF" w:rsidRPr="006210EF" w:rsidRDefault="00C62CCF" w:rsidP="006210EF">
            <w:pPr>
              <w:overflowPunct w:val="0"/>
              <w:autoSpaceDE w:val="0"/>
              <w:autoSpaceDN w:val="0"/>
              <w:adjustRightInd w:val="0"/>
              <w:ind w:right="-610"/>
              <w:rPr>
                <w:color w:val="auto"/>
                <w:sz w:val="20"/>
              </w:rPr>
            </w:pPr>
            <w:r w:rsidRPr="006210EF">
              <w:rPr>
                <w:color w:val="auto"/>
                <w:sz w:val="20"/>
              </w:rPr>
              <w:t>Smith et al., 201</w:t>
            </w:r>
            <w:r>
              <w:rPr>
                <w:color w:val="auto"/>
                <w:sz w:val="20"/>
              </w:rPr>
              <w:t>5</w:t>
            </w:r>
          </w:p>
        </w:tc>
        <w:tc>
          <w:tcPr>
            <w:tcW w:w="2410" w:type="dxa"/>
            <w:gridSpan w:val="3"/>
            <w:shd w:val="clear" w:color="auto" w:fill="auto"/>
          </w:tcPr>
          <w:p w14:paraId="2EB5D0B1" w14:textId="77777777" w:rsidR="00C62CCF" w:rsidRPr="006210EF" w:rsidRDefault="00C62CCF" w:rsidP="00147135">
            <w:pPr>
              <w:overflowPunct w:val="0"/>
              <w:autoSpaceDE w:val="0"/>
              <w:autoSpaceDN w:val="0"/>
              <w:adjustRightInd w:val="0"/>
              <w:ind w:right="-610"/>
              <w:rPr>
                <w:color w:val="auto"/>
                <w:sz w:val="20"/>
              </w:rPr>
            </w:pPr>
            <w:r w:rsidRPr="006210EF">
              <w:rPr>
                <w:color w:val="auto"/>
                <w:sz w:val="20"/>
              </w:rPr>
              <w:t>PLP-LP-UVAS (</w:t>
            </w:r>
            <w:r w:rsidR="00147135">
              <w:rPr>
                <w:color w:val="auto"/>
                <w:sz w:val="20"/>
              </w:rPr>
              <w:t>f</w:t>
            </w:r>
            <w:r w:rsidRPr="006210EF">
              <w:rPr>
                <w:color w:val="auto"/>
                <w:sz w:val="20"/>
              </w:rPr>
              <w:t>)</w:t>
            </w:r>
          </w:p>
        </w:tc>
      </w:tr>
      <w:tr w:rsidR="00C62CCF" w:rsidRPr="001D3940" w14:paraId="5B1CB0DE" w14:textId="77777777" w:rsidTr="006210EF">
        <w:tc>
          <w:tcPr>
            <w:tcW w:w="3216" w:type="dxa"/>
            <w:shd w:val="clear" w:color="auto" w:fill="auto"/>
          </w:tcPr>
          <w:p w14:paraId="666F3814" w14:textId="77777777" w:rsidR="00C62CCF" w:rsidRPr="000B109A" w:rsidRDefault="000B109A" w:rsidP="009B7B2A">
            <w:pPr>
              <w:overflowPunct w:val="0"/>
              <w:autoSpaceDE w:val="0"/>
              <w:autoSpaceDN w:val="0"/>
              <w:adjustRightInd w:val="0"/>
              <w:ind w:right="-612"/>
              <w:jc w:val="both"/>
              <w:rPr>
                <w:i/>
                <w:iCs/>
                <w:color w:val="auto"/>
                <w:sz w:val="20"/>
              </w:rPr>
            </w:pPr>
            <w:r w:rsidRPr="006210EF">
              <w:rPr>
                <w:i/>
                <w:iCs/>
                <w:color w:val="auto"/>
                <w:sz w:val="20"/>
              </w:rPr>
              <w:t>k</w:t>
            </w:r>
            <w:r w:rsidRPr="006210EF">
              <w:rPr>
                <w:iCs/>
                <w:color w:val="auto"/>
                <w:sz w:val="20"/>
                <w:vertAlign w:val="subscript"/>
              </w:rPr>
              <w:t>2</w:t>
            </w:r>
            <w:r w:rsidRPr="006210EF">
              <w:rPr>
                <w:iCs/>
                <w:color w:val="auto"/>
                <w:sz w:val="20"/>
              </w:rPr>
              <w:t xml:space="preserve"> = </w:t>
            </w:r>
            <w:r>
              <w:rPr>
                <w:color w:val="auto"/>
                <w:sz w:val="20"/>
              </w:rPr>
              <w:t>8.72</w:t>
            </w:r>
            <w:r w:rsidRPr="006210EF">
              <w:rPr>
                <w:iCs/>
                <w:color w:val="auto"/>
                <w:sz w:val="20"/>
              </w:rPr>
              <w:t xml:space="preserve"> </w:t>
            </w:r>
            <w:r w:rsidRPr="006210EF">
              <w:rPr>
                <w:rFonts w:ascii="Symbol" w:eastAsia="Symbol" w:hAnsi="Symbol" w:cs="Symbol"/>
                <w:color w:val="auto"/>
                <w:sz w:val="20"/>
              </w:rPr>
              <w:t></w:t>
            </w:r>
            <w:r w:rsidRPr="006210EF">
              <w:rPr>
                <w:color w:val="auto"/>
                <w:sz w:val="20"/>
              </w:rPr>
              <w:t xml:space="preserve"> 10</w:t>
            </w:r>
            <w:r w:rsidRPr="006210EF">
              <w:rPr>
                <w:color w:val="auto"/>
                <w:sz w:val="20"/>
                <w:vertAlign w:val="superscript"/>
              </w:rPr>
              <w:t>-1</w:t>
            </w:r>
            <w:r w:rsidR="00B12AB6">
              <w:rPr>
                <w:color w:val="auto"/>
                <w:sz w:val="20"/>
                <w:vertAlign w:val="superscript"/>
              </w:rPr>
              <w:t>8</w:t>
            </w:r>
            <w:r>
              <w:rPr>
                <w:color w:val="auto"/>
                <w:sz w:val="20"/>
              </w:rPr>
              <w:t xml:space="preserve"> </w:t>
            </w:r>
            <w:proofErr w:type="gramStart"/>
            <w:r>
              <w:rPr>
                <w:color w:val="auto"/>
                <w:sz w:val="20"/>
              </w:rPr>
              <w:t>exp[</w:t>
            </w:r>
            <w:proofErr w:type="gramEnd"/>
            <w:r>
              <w:rPr>
                <w:color w:val="auto"/>
                <w:sz w:val="20"/>
              </w:rPr>
              <w:t>(4076 ± 302)/</w:t>
            </w:r>
            <w:r w:rsidRPr="000B109A">
              <w:rPr>
                <w:i/>
                <w:color w:val="auto"/>
                <w:sz w:val="20"/>
              </w:rPr>
              <w:t>T</w:t>
            </w:r>
            <w:r>
              <w:rPr>
                <w:color w:val="auto"/>
                <w:sz w:val="20"/>
              </w:rPr>
              <w:t>]</w:t>
            </w:r>
          </w:p>
        </w:tc>
        <w:tc>
          <w:tcPr>
            <w:tcW w:w="992" w:type="dxa"/>
            <w:shd w:val="clear" w:color="auto" w:fill="auto"/>
          </w:tcPr>
          <w:p w14:paraId="53C73FCA" w14:textId="77777777" w:rsidR="00C62CCF" w:rsidRPr="006210EF" w:rsidRDefault="000B109A" w:rsidP="009B7B2A">
            <w:pPr>
              <w:overflowPunct w:val="0"/>
              <w:autoSpaceDE w:val="0"/>
              <w:autoSpaceDN w:val="0"/>
              <w:adjustRightInd w:val="0"/>
              <w:ind w:right="-612"/>
              <w:rPr>
                <w:color w:val="auto"/>
                <w:sz w:val="20"/>
              </w:rPr>
            </w:pPr>
            <w:r>
              <w:rPr>
                <w:color w:val="auto"/>
                <w:sz w:val="20"/>
              </w:rPr>
              <w:t>283-324</w:t>
            </w:r>
          </w:p>
        </w:tc>
        <w:tc>
          <w:tcPr>
            <w:tcW w:w="2268" w:type="dxa"/>
            <w:gridSpan w:val="2"/>
            <w:shd w:val="clear" w:color="auto" w:fill="auto"/>
          </w:tcPr>
          <w:p w14:paraId="1DE71123" w14:textId="77777777" w:rsidR="00C62CCF" w:rsidRPr="006210EF" w:rsidRDefault="00C62CCF" w:rsidP="009B7B2A">
            <w:pPr>
              <w:overflowPunct w:val="0"/>
              <w:autoSpaceDE w:val="0"/>
              <w:autoSpaceDN w:val="0"/>
              <w:adjustRightInd w:val="0"/>
              <w:ind w:right="-612"/>
              <w:rPr>
                <w:color w:val="auto"/>
                <w:sz w:val="20"/>
              </w:rPr>
            </w:pPr>
          </w:p>
        </w:tc>
        <w:tc>
          <w:tcPr>
            <w:tcW w:w="2410" w:type="dxa"/>
            <w:gridSpan w:val="3"/>
            <w:shd w:val="clear" w:color="auto" w:fill="auto"/>
          </w:tcPr>
          <w:p w14:paraId="44891CA5" w14:textId="77777777" w:rsidR="00C62CCF" w:rsidRPr="006210EF" w:rsidRDefault="00C62CCF" w:rsidP="009B7B2A">
            <w:pPr>
              <w:overflowPunct w:val="0"/>
              <w:autoSpaceDE w:val="0"/>
              <w:autoSpaceDN w:val="0"/>
              <w:adjustRightInd w:val="0"/>
              <w:ind w:right="-612"/>
              <w:rPr>
                <w:color w:val="auto"/>
                <w:sz w:val="20"/>
              </w:rPr>
            </w:pPr>
          </w:p>
        </w:tc>
      </w:tr>
      <w:tr w:rsidR="009B7B2A" w:rsidRPr="001D3940" w14:paraId="0ACF32B7" w14:textId="77777777" w:rsidTr="006210EF">
        <w:tc>
          <w:tcPr>
            <w:tcW w:w="3216" w:type="dxa"/>
            <w:shd w:val="clear" w:color="auto" w:fill="auto"/>
          </w:tcPr>
          <w:p w14:paraId="76BA2710" w14:textId="77777777" w:rsidR="009B7B2A" w:rsidRPr="006210EF" w:rsidRDefault="009B7B2A" w:rsidP="009B7B2A">
            <w:pPr>
              <w:overflowPunct w:val="0"/>
              <w:autoSpaceDE w:val="0"/>
              <w:autoSpaceDN w:val="0"/>
              <w:adjustRightInd w:val="0"/>
              <w:ind w:right="-612"/>
              <w:jc w:val="both"/>
              <w:rPr>
                <w:i/>
                <w:iCs/>
                <w:color w:val="auto"/>
                <w:sz w:val="20"/>
              </w:rPr>
            </w:pPr>
            <w:r w:rsidRPr="006210EF">
              <w:rPr>
                <w:i/>
                <w:iCs/>
                <w:color w:val="auto"/>
                <w:sz w:val="20"/>
              </w:rPr>
              <w:t>k</w:t>
            </w:r>
            <w:r>
              <w:rPr>
                <w:iCs/>
                <w:color w:val="auto"/>
                <w:sz w:val="20"/>
                <w:vertAlign w:val="subscript"/>
              </w:rPr>
              <w:t>1</w:t>
            </w:r>
            <w:r w:rsidRPr="006210EF">
              <w:rPr>
                <w:iCs/>
                <w:color w:val="auto"/>
                <w:sz w:val="20"/>
              </w:rPr>
              <w:t xml:space="preserve"> = (</w:t>
            </w:r>
            <w:r>
              <w:rPr>
                <w:iCs/>
                <w:color w:val="auto"/>
                <w:sz w:val="20"/>
              </w:rPr>
              <w:t>2.4</w:t>
            </w:r>
            <w:r w:rsidRPr="006210EF">
              <w:rPr>
                <w:iCs/>
                <w:color w:val="auto"/>
                <w:sz w:val="20"/>
              </w:rPr>
              <w:t xml:space="preserve"> ± </w:t>
            </w:r>
            <w:r>
              <w:rPr>
                <w:iCs/>
                <w:color w:val="auto"/>
                <w:sz w:val="20"/>
              </w:rPr>
              <w:t>1.6</w:t>
            </w:r>
            <w:r w:rsidRPr="006210EF">
              <w:rPr>
                <w:iCs/>
                <w:color w:val="auto"/>
                <w:sz w:val="20"/>
              </w:rPr>
              <w:t xml:space="preserve">) </w:t>
            </w:r>
            <w:r w:rsidRPr="006210EF">
              <w:rPr>
                <w:rFonts w:ascii="Symbol" w:eastAsia="Symbol" w:hAnsi="Symbol" w:cs="Symbol"/>
                <w:color w:val="auto"/>
                <w:sz w:val="20"/>
              </w:rPr>
              <w:t></w:t>
            </w:r>
            <w:r w:rsidRPr="006210EF">
              <w:rPr>
                <w:color w:val="auto"/>
                <w:sz w:val="20"/>
              </w:rPr>
              <w:t xml:space="preserve"> 10</w:t>
            </w:r>
            <w:r w:rsidRPr="006210EF">
              <w:rPr>
                <w:color w:val="auto"/>
                <w:sz w:val="20"/>
                <w:vertAlign w:val="superscript"/>
              </w:rPr>
              <w:t>-1</w:t>
            </w:r>
            <w:r>
              <w:rPr>
                <w:color w:val="auto"/>
                <w:sz w:val="20"/>
                <w:vertAlign w:val="superscript"/>
              </w:rPr>
              <w:t>6</w:t>
            </w:r>
          </w:p>
        </w:tc>
        <w:tc>
          <w:tcPr>
            <w:tcW w:w="992" w:type="dxa"/>
            <w:shd w:val="clear" w:color="auto" w:fill="auto"/>
          </w:tcPr>
          <w:p w14:paraId="5E7978A9" w14:textId="77777777" w:rsidR="009B7B2A" w:rsidRDefault="009B7B2A" w:rsidP="009B7B2A">
            <w:pPr>
              <w:overflowPunct w:val="0"/>
              <w:autoSpaceDE w:val="0"/>
              <w:autoSpaceDN w:val="0"/>
              <w:adjustRightInd w:val="0"/>
              <w:ind w:right="-612"/>
              <w:rPr>
                <w:color w:val="auto"/>
                <w:sz w:val="20"/>
              </w:rPr>
            </w:pPr>
            <w:r>
              <w:rPr>
                <w:color w:val="auto"/>
                <w:sz w:val="20"/>
              </w:rPr>
              <w:t>293</w:t>
            </w:r>
          </w:p>
        </w:tc>
        <w:tc>
          <w:tcPr>
            <w:tcW w:w="2268" w:type="dxa"/>
            <w:gridSpan w:val="2"/>
            <w:shd w:val="clear" w:color="auto" w:fill="auto"/>
          </w:tcPr>
          <w:p w14:paraId="7516E24E" w14:textId="77777777" w:rsidR="009B7B2A" w:rsidRPr="006210EF" w:rsidRDefault="009B7B2A" w:rsidP="009B7B2A">
            <w:pPr>
              <w:overflowPunct w:val="0"/>
              <w:autoSpaceDE w:val="0"/>
              <w:autoSpaceDN w:val="0"/>
              <w:adjustRightInd w:val="0"/>
              <w:ind w:right="-612"/>
              <w:rPr>
                <w:color w:val="auto"/>
                <w:sz w:val="20"/>
              </w:rPr>
            </w:pPr>
            <w:proofErr w:type="spellStart"/>
            <w:r>
              <w:rPr>
                <w:color w:val="auto"/>
                <w:sz w:val="20"/>
              </w:rPr>
              <w:t>Sheps</w:t>
            </w:r>
            <w:proofErr w:type="spellEnd"/>
            <w:r>
              <w:rPr>
                <w:color w:val="auto"/>
                <w:sz w:val="20"/>
              </w:rPr>
              <w:t xml:space="preserve"> et al., 2017</w:t>
            </w:r>
          </w:p>
        </w:tc>
        <w:tc>
          <w:tcPr>
            <w:tcW w:w="2410" w:type="dxa"/>
            <w:gridSpan w:val="3"/>
            <w:shd w:val="clear" w:color="auto" w:fill="auto"/>
          </w:tcPr>
          <w:p w14:paraId="09F4AE4B" w14:textId="77777777" w:rsidR="009B7B2A" w:rsidRPr="006210EF" w:rsidRDefault="003C4E5D" w:rsidP="009B7B2A">
            <w:pPr>
              <w:overflowPunct w:val="0"/>
              <w:autoSpaceDE w:val="0"/>
              <w:autoSpaceDN w:val="0"/>
              <w:adjustRightInd w:val="0"/>
              <w:ind w:right="-612"/>
              <w:rPr>
                <w:color w:val="auto"/>
                <w:sz w:val="20"/>
              </w:rPr>
            </w:pPr>
            <w:r>
              <w:rPr>
                <w:color w:val="auto"/>
                <w:sz w:val="20"/>
              </w:rPr>
              <w:t>TR-BB-CEAS/PIMS (g)</w:t>
            </w:r>
          </w:p>
        </w:tc>
      </w:tr>
      <w:tr w:rsidR="009B7B2A" w:rsidRPr="001D3940" w14:paraId="0A3A7B4F" w14:textId="77777777" w:rsidTr="006210EF">
        <w:tc>
          <w:tcPr>
            <w:tcW w:w="3216" w:type="dxa"/>
            <w:shd w:val="clear" w:color="auto" w:fill="auto"/>
          </w:tcPr>
          <w:p w14:paraId="49D94430" w14:textId="77777777" w:rsidR="009B7B2A" w:rsidRPr="006210EF" w:rsidRDefault="009B7B2A" w:rsidP="003C4E5D">
            <w:pPr>
              <w:overflowPunct w:val="0"/>
              <w:autoSpaceDE w:val="0"/>
              <w:autoSpaceDN w:val="0"/>
              <w:adjustRightInd w:val="0"/>
              <w:spacing w:after="120"/>
              <w:ind w:right="-612"/>
              <w:jc w:val="both"/>
              <w:rPr>
                <w:i/>
                <w:iCs/>
                <w:color w:val="auto"/>
                <w:sz w:val="20"/>
              </w:rPr>
            </w:pPr>
            <w:r w:rsidRPr="006210EF">
              <w:rPr>
                <w:i/>
                <w:iCs/>
                <w:color w:val="auto"/>
                <w:sz w:val="20"/>
              </w:rPr>
              <w:t>k</w:t>
            </w:r>
            <w:r w:rsidR="00CF28E5">
              <w:rPr>
                <w:iCs/>
                <w:color w:val="auto"/>
                <w:sz w:val="20"/>
                <w:vertAlign w:val="subscript"/>
              </w:rPr>
              <w:t>2</w:t>
            </w:r>
            <w:r w:rsidRPr="006210EF">
              <w:rPr>
                <w:iCs/>
                <w:color w:val="auto"/>
                <w:sz w:val="20"/>
              </w:rPr>
              <w:t xml:space="preserve"> = (</w:t>
            </w:r>
            <w:r w:rsidR="003C4E5D">
              <w:rPr>
                <w:iCs/>
                <w:color w:val="auto"/>
                <w:sz w:val="20"/>
              </w:rPr>
              <w:t>6.6</w:t>
            </w:r>
            <w:r w:rsidRPr="006210EF">
              <w:rPr>
                <w:iCs/>
                <w:color w:val="auto"/>
                <w:sz w:val="20"/>
              </w:rPr>
              <w:t xml:space="preserve"> ± </w:t>
            </w:r>
            <w:r w:rsidR="003C4E5D">
              <w:rPr>
                <w:iCs/>
                <w:color w:val="auto"/>
                <w:sz w:val="20"/>
              </w:rPr>
              <w:t>0.7</w:t>
            </w:r>
            <w:r w:rsidRPr="006210EF">
              <w:rPr>
                <w:iCs/>
                <w:color w:val="auto"/>
                <w:sz w:val="20"/>
              </w:rPr>
              <w:t xml:space="preserve">) </w:t>
            </w:r>
            <w:r w:rsidRPr="006210EF">
              <w:rPr>
                <w:rFonts w:ascii="Symbol" w:eastAsia="Symbol" w:hAnsi="Symbol" w:cs="Symbol"/>
                <w:color w:val="auto"/>
                <w:sz w:val="20"/>
              </w:rPr>
              <w:t></w:t>
            </w:r>
            <w:r w:rsidRPr="006210EF">
              <w:rPr>
                <w:color w:val="auto"/>
                <w:sz w:val="20"/>
              </w:rPr>
              <w:t xml:space="preserve"> 10</w:t>
            </w:r>
            <w:r w:rsidRPr="006210EF">
              <w:rPr>
                <w:color w:val="auto"/>
                <w:sz w:val="20"/>
                <w:vertAlign w:val="superscript"/>
              </w:rPr>
              <w:t>-1</w:t>
            </w:r>
            <w:r>
              <w:rPr>
                <w:color w:val="auto"/>
                <w:sz w:val="20"/>
                <w:vertAlign w:val="superscript"/>
              </w:rPr>
              <w:t>6</w:t>
            </w:r>
          </w:p>
        </w:tc>
        <w:tc>
          <w:tcPr>
            <w:tcW w:w="992" w:type="dxa"/>
            <w:shd w:val="clear" w:color="auto" w:fill="auto"/>
          </w:tcPr>
          <w:p w14:paraId="2F19B7A3" w14:textId="77777777" w:rsidR="009B7B2A" w:rsidRDefault="009B7B2A" w:rsidP="009B7B2A">
            <w:pPr>
              <w:overflowPunct w:val="0"/>
              <w:autoSpaceDE w:val="0"/>
              <w:autoSpaceDN w:val="0"/>
              <w:adjustRightInd w:val="0"/>
              <w:ind w:right="-612"/>
              <w:rPr>
                <w:color w:val="auto"/>
                <w:sz w:val="20"/>
              </w:rPr>
            </w:pPr>
            <w:r>
              <w:rPr>
                <w:color w:val="auto"/>
                <w:sz w:val="20"/>
              </w:rPr>
              <w:t>293</w:t>
            </w:r>
          </w:p>
        </w:tc>
        <w:tc>
          <w:tcPr>
            <w:tcW w:w="2268" w:type="dxa"/>
            <w:gridSpan w:val="2"/>
            <w:shd w:val="clear" w:color="auto" w:fill="auto"/>
          </w:tcPr>
          <w:p w14:paraId="08A6A5A9" w14:textId="77777777" w:rsidR="009B7B2A" w:rsidRPr="006210EF" w:rsidRDefault="009B7B2A" w:rsidP="009B7B2A">
            <w:pPr>
              <w:overflowPunct w:val="0"/>
              <w:autoSpaceDE w:val="0"/>
              <w:autoSpaceDN w:val="0"/>
              <w:adjustRightInd w:val="0"/>
              <w:ind w:right="-612"/>
              <w:rPr>
                <w:color w:val="auto"/>
                <w:sz w:val="20"/>
              </w:rPr>
            </w:pPr>
          </w:p>
        </w:tc>
        <w:tc>
          <w:tcPr>
            <w:tcW w:w="2410" w:type="dxa"/>
            <w:gridSpan w:val="3"/>
            <w:shd w:val="clear" w:color="auto" w:fill="auto"/>
          </w:tcPr>
          <w:p w14:paraId="7C2DF5C5" w14:textId="77777777" w:rsidR="009B7B2A" w:rsidRPr="006210EF" w:rsidRDefault="009B7B2A" w:rsidP="009B7B2A">
            <w:pPr>
              <w:overflowPunct w:val="0"/>
              <w:autoSpaceDE w:val="0"/>
              <w:autoSpaceDN w:val="0"/>
              <w:adjustRightInd w:val="0"/>
              <w:ind w:right="-612"/>
              <w:rPr>
                <w:color w:val="auto"/>
                <w:sz w:val="20"/>
              </w:rPr>
            </w:pPr>
          </w:p>
        </w:tc>
      </w:tr>
      <w:tr w:rsidR="009B7B2A" w:rsidRPr="001D3940" w14:paraId="3946539F" w14:textId="77777777" w:rsidTr="006210EF">
        <w:tc>
          <w:tcPr>
            <w:tcW w:w="3216" w:type="dxa"/>
            <w:shd w:val="clear" w:color="auto" w:fill="auto"/>
          </w:tcPr>
          <w:p w14:paraId="0099392E" w14:textId="77777777" w:rsidR="009B7B2A" w:rsidRDefault="009B7B2A" w:rsidP="009B7B2A">
            <w:pPr>
              <w:ind w:right="-610"/>
              <w:jc w:val="both"/>
              <w:rPr>
                <w:sz w:val="20"/>
              </w:rPr>
            </w:pPr>
            <w:r>
              <w:rPr>
                <w:i/>
                <w:sz w:val="20"/>
              </w:rPr>
              <w:t>Relative</w:t>
            </w:r>
            <w:r w:rsidRPr="00713905">
              <w:rPr>
                <w:i/>
                <w:sz w:val="20"/>
              </w:rPr>
              <w:t xml:space="preserve"> Rate Coefficients</w:t>
            </w:r>
          </w:p>
        </w:tc>
        <w:tc>
          <w:tcPr>
            <w:tcW w:w="992" w:type="dxa"/>
            <w:shd w:val="clear" w:color="auto" w:fill="auto"/>
          </w:tcPr>
          <w:p w14:paraId="11334506" w14:textId="77777777" w:rsidR="009B7B2A" w:rsidRDefault="009B7B2A" w:rsidP="009B7B2A">
            <w:pPr>
              <w:ind w:right="-610"/>
              <w:rPr>
                <w:sz w:val="20"/>
              </w:rPr>
            </w:pPr>
          </w:p>
        </w:tc>
        <w:tc>
          <w:tcPr>
            <w:tcW w:w="2268" w:type="dxa"/>
            <w:gridSpan w:val="2"/>
            <w:shd w:val="clear" w:color="auto" w:fill="auto"/>
          </w:tcPr>
          <w:p w14:paraId="76EBAA34" w14:textId="77777777" w:rsidR="009B7B2A" w:rsidRDefault="009B7B2A" w:rsidP="009B7B2A">
            <w:pPr>
              <w:ind w:right="-610"/>
              <w:rPr>
                <w:sz w:val="20"/>
              </w:rPr>
            </w:pPr>
          </w:p>
        </w:tc>
        <w:tc>
          <w:tcPr>
            <w:tcW w:w="2410" w:type="dxa"/>
            <w:gridSpan w:val="3"/>
            <w:shd w:val="clear" w:color="auto" w:fill="auto"/>
          </w:tcPr>
          <w:p w14:paraId="49ED8CFB" w14:textId="77777777" w:rsidR="009B7B2A" w:rsidRDefault="009B7B2A" w:rsidP="009B7B2A">
            <w:pPr>
              <w:ind w:right="-610"/>
              <w:jc w:val="both"/>
              <w:rPr>
                <w:sz w:val="20"/>
              </w:rPr>
            </w:pPr>
          </w:p>
        </w:tc>
      </w:tr>
      <w:tr w:rsidR="009B7B2A" w:rsidRPr="001D3940" w14:paraId="3FB550D0" w14:textId="77777777" w:rsidTr="006210EF">
        <w:tc>
          <w:tcPr>
            <w:tcW w:w="3216" w:type="dxa"/>
            <w:shd w:val="clear" w:color="auto" w:fill="auto"/>
          </w:tcPr>
          <w:p w14:paraId="5A02DDD1" w14:textId="7555EFB3" w:rsidR="009B7B2A" w:rsidRDefault="009B7B2A" w:rsidP="009B7B2A">
            <w:pPr>
              <w:overflowPunct w:val="0"/>
              <w:autoSpaceDE w:val="0"/>
              <w:autoSpaceDN w:val="0"/>
              <w:adjustRightInd w:val="0"/>
              <w:ind w:right="-612"/>
              <w:jc w:val="both"/>
              <w:rPr>
                <w:sz w:val="20"/>
                <w:szCs w:val="24"/>
                <w:lang w:eastAsia="en-US"/>
              </w:rPr>
            </w:pPr>
            <w:r w:rsidRPr="00C962E9">
              <w:rPr>
                <w:i/>
                <w:sz w:val="20"/>
              </w:rPr>
              <w:t>k</w:t>
            </w:r>
            <w:r w:rsidRPr="00C962E9">
              <w:rPr>
                <w:sz w:val="20"/>
                <w:vertAlign w:val="subscript"/>
              </w:rPr>
              <w:t>1</w:t>
            </w:r>
            <w:r>
              <w:rPr>
                <w:sz w:val="20"/>
              </w:rPr>
              <w:t xml:space="preserve"> = (8.</w:t>
            </w:r>
            <w:r w:rsidR="00DF18E4">
              <w:rPr>
                <w:sz w:val="20"/>
              </w:rPr>
              <w:t>5</w:t>
            </w:r>
            <w:r w:rsidR="00DF18E4">
              <w:rPr>
                <w:sz w:val="20"/>
              </w:rPr>
              <w:t xml:space="preserve"> </w:t>
            </w:r>
            <w:r>
              <w:rPr>
                <w:sz w:val="20"/>
              </w:rPr>
              <w:t>± 3.</w:t>
            </w:r>
            <w:r w:rsidR="00DF18E4">
              <w:rPr>
                <w:sz w:val="20"/>
              </w:rPr>
              <w:t>7</w:t>
            </w:r>
            <w:r>
              <w:rPr>
                <w:sz w:val="20"/>
              </w:rPr>
              <w:t xml:space="preserve">) </w:t>
            </w:r>
            <w:r w:rsidRPr="006210EF">
              <w:rPr>
                <w:rFonts w:ascii="Symbol" w:eastAsia="Symbol" w:hAnsi="Symbol" w:cs="Symbol"/>
                <w:color w:val="auto"/>
                <w:sz w:val="20"/>
              </w:rPr>
              <w:t></w:t>
            </w:r>
            <w:r>
              <w:rPr>
                <w:sz w:val="20"/>
              </w:rPr>
              <w:t xml:space="preserve"> 10</w:t>
            </w:r>
            <w:r>
              <w:rPr>
                <w:sz w:val="20"/>
                <w:vertAlign w:val="superscript"/>
              </w:rPr>
              <w:t xml:space="preserve">-15  </w:t>
            </w:r>
          </w:p>
        </w:tc>
        <w:tc>
          <w:tcPr>
            <w:tcW w:w="992" w:type="dxa"/>
            <w:shd w:val="clear" w:color="auto" w:fill="auto"/>
          </w:tcPr>
          <w:p w14:paraId="3B0479B6" w14:textId="77777777" w:rsidR="009B7B2A" w:rsidRDefault="009B7B2A" w:rsidP="009B7B2A">
            <w:pPr>
              <w:overflowPunct w:val="0"/>
              <w:autoSpaceDE w:val="0"/>
              <w:autoSpaceDN w:val="0"/>
              <w:adjustRightInd w:val="0"/>
              <w:ind w:right="-612"/>
              <w:rPr>
                <w:iCs/>
                <w:sz w:val="20"/>
                <w:szCs w:val="24"/>
                <w:lang w:eastAsia="en-US"/>
              </w:rPr>
            </w:pPr>
            <w:r>
              <w:rPr>
                <w:iCs/>
                <w:sz w:val="20"/>
              </w:rPr>
              <w:t>298</w:t>
            </w:r>
          </w:p>
        </w:tc>
        <w:tc>
          <w:tcPr>
            <w:tcW w:w="2268" w:type="dxa"/>
            <w:gridSpan w:val="2"/>
            <w:shd w:val="clear" w:color="auto" w:fill="auto"/>
          </w:tcPr>
          <w:p w14:paraId="35BE0C57" w14:textId="77777777" w:rsidR="009B7B2A" w:rsidRDefault="009B7B2A" w:rsidP="009B7B2A">
            <w:pPr>
              <w:overflowPunct w:val="0"/>
              <w:autoSpaceDE w:val="0"/>
              <w:autoSpaceDN w:val="0"/>
              <w:adjustRightInd w:val="0"/>
              <w:ind w:right="-612"/>
              <w:rPr>
                <w:iCs/>
                <w:sz w:val="20"/>
                <w:szCs w:val="24"/>
                <w:lang w:eastAsia="en-US"/>
              </w:rPr>
            </w:pPr>
            <w:proofErr w:type="spellStart"/>
            <w:r>
              <w:rPr>
                <w:iCs/>
                <w:sz w:val="20"/>
              </w:rPr>
              <w:t>Suto</w:t>
            </w:r>
            <w:proofErr w:type="spellEnd"/>
            <w:r>
              <w:rPr>
                <w:iCs/>
                <w:sz w:val="20"/>
              </w:rPr>
              <w:t xml:space="preserve"> et al., 1985 </w:t>
            </w:r>
          </w:p>
        </w:tc>
        <w:tc>
          <w:tcPr>
            <w:tcW w:w="2410" w:type="dxa"/>
            <w:gridSpan w:val="3"/>
            <w:shd w:val="clear" w:color="auto" w:fill="auto"/>
          </w:tcPr>
          <w:p w14:paraId="56EC3B8C" w14:textId="77777777" w:rsidR="009B7B2A" w:rsidRPr="002C4DE8" w:rsidRDefault="009B7B2A" w:rsidP="009B7B2A">
            <w:pPr>
              <w:overflowPunct w:val="0"/>
              <w:autoSpaceDE w:val="0"/>
              <w:autoSpaceDN w:val="0"/>
              <w:adjustRightInd w:val="0"/>
              <w:ind w:right="-612"/>
              <w:jc w:val="both"/>
              <w:rPr>
                <w:iCs/>
                <w:color w:val="auto"/>
                <w:sz w:val="20"/>
                <w:szCs w:val="24"/>
                <w:lang w:eastAsia="en-US"/>
              </w:rPr>
            </w:pPr>
            <w:r w:rsidRPr="002C4DE8">
              <w:rPr>
                <w:color w:val="auto"/>
                <w:sz w:val="20"/>
              </w:rPr>
              <w:t>RR-AFT-</w:t>
            </w:r>
            <w:proofErr w:type="spellStart"/>
            <w:r w:rsidRPr="002C4DE8">
              <w:rPr>
                <w:color w:val="auto"/>
                <w:sz w:val="20"/>
              </w:rPr>
              <w:t>UVscat</w:t>
            </w:r>
            <w:proofErr w:type="spellEnd"/>
            <w:r w:rsidRPr="002C4DE8">
              <w:rPr>
                <w:iCs/>
                <w:color w:val="auto"/>
                <w:sz w:val="20"/>
              </w:rPr>
              <w:t xml:space="preserve"> (</w:t>
            </w:r>
            <w:r w:rsidR="003C4E5D">
              <w:rPr>
                <w:iCs/>
                <w:color w:val="auto"/>
                <w:sz w:val="20"/>
              </w:rPr>
              <w:t>h</w:t>
            </w:r>
            <w:r w:rsidRPr="002C4DE8">
              <w:rPr>
                <w:iCs/>
                <w:color w:val="auto"/>
                <w:sz w:val="20"/>
              </w:rPr>
              <w:t>)</w:t>
            </w:r>
          </w:p>
        </w:tc>
      </w:tr>
      <w:tr w:rsidR="009B7B2A" w:rsidRPr="001D3940" w14:paraId="6A74D258" w14:textId="77777777" w:rsidTr="006210EF">
        <w:tc>
          <w:tcPr>
            <w:tcW w:w="3216" w:type="dxa"/>
            <w:shd w:val="clear" w:color="auto" w:fill="auto"/>
          </w:tcPr>
          <w:p w14:paraId="29EA0512" w14:textId="77777777" w:rsidR="009B7B2A" w:rsidRDefault="009B7B2A" w:rsidP="009B7B2A">
            <w:pPr>
              <w:overflowPunct w:val="0"/>
              <w:autoSpaceDE w:val="0"/>
              <w:autoSpaceDN w:val="0"/>
              <w:adjustRightInd w:val="0"/>
              <w:ind w:right="-612"/>
              <w:jc w:val="both"/>
              <w:rPr>
                <w:rFonts w:cs="e364b11"/>
                <w:sz w:val="20"/>
                <w:szCs w:val="24"/>
                <w:lang w:eastAsia="en-US"/>
              </w:rPr>
            </w:pPr>
            <w:r w:rsidRPr="00C962E9">
              <w:rPr>
                <w:i/>
                <w:sz w:val="20"/>
              </w:rPr>
              <w:t>k</w:t>
            </w:r>
            <w:r w:rsidRPr="00C962E9">
              <w:rPr>
                <w:sz w:val="20"/>
                <w:vertAlign w:val="subscript"/>
              </w:rPr>
              <w:t>1</w:t>
            </w:r>
            <w:r>
              <w:rPr>
                <w:sz w:val="20"/>
              </w:rPr>
              <w:t xml:space="preserve"> = (1.1 ± 0.4) </w:t>
            </w:r>
            <w:r w:rsidRPr="006210EF">
              <w:rPr>
                <w:rFonts w:ascii="Symbol" w:eastAsia="Symbol" w:hAnsi="Symbol" w:cs="Symbol"/>
                <w:color w:val="auto"/>
                <w:sz w:val="20"/>
              </w:rPr>
              <w:t></w:t>
            </w:r>
            <w:r>
              <w:rPr>
                <w:sz w:val="20"/>
              </w:rPr>
              <w:t xml:space="preserve"> 10</w:t>
            </w:r>
            <w:r>
              <w:rPr>
                <w:sz w:val="20"/>
                <w:vertAlign w:val="superscript"/>
              </w:rPr>
              <w:t xml:space="preserve">-17  </w:t>
            </w:r>
          </w:p>
        </w:tc>
        <w:tc>
          <w:tcPr>
            <w:tcW w:w="992" w:type="dxa"/>
            <w:shd w:val="clear" w:color="auto" w:fill="auto"/>
          </w:tcPr>
          <w:p w14:paraId="11D13E49" w14:textId="77777777" w:rsidR="009B7B2A" w:rsidRDefault="009B7B2A" w:rsidP="009B7B2A">
            <w:pPr>
              <w:overflowPunct w:val="0"/>
              <w:autoSpaceDE w:val="0"/>
              <w:autoSpaceDN w:val="0"/>
              <w:adjustRightInd w:val="0"/>
              <w:ind w:right="-612"/>
              <w:rPr>
                <w:sz w:val="20"/>
                <w:szCs w:val="24"/>
                <w:lang w:eastAsia="en-US"/>
              </w:rPr>
            </w:pPr>
            <w:r>
              <w:rPr>
                <w:sz w:val="20"/>
              </w:rPr>
              <w:t>297</w:t>
            </w:r>
          </w:p>
        </w:tc>
        <w:tc>
          <w:tcPr>
            <w:tcW w:w="2268" w:type="dxa"/>
            <w:gridSpan w:val="2"/>
            <w:shd w:val="clear" w:color="auto" w:fill="auto"/>
          </w:tcPr>
          <w:p w14:paraId="234F3995" w14:textId="77777777" w:rsidR="009B7B2A" w:rsidRDefault="009B7B2A" w:rsidP="009B7B2A">
            <w:pPr>
              <w:overflowPunct w:val="0"/>
              <w:autoSpaceDE w:val="0"/>
              <w:autoSpaceDN w:val="0"/>
              <w:adjustRightInd w:val="0"/>
              <w:ind w:right="-612"/>
              <w:rPr>
                <w:sz w:val="20"/>
                <w:szCs w:val="24"/>
                <w:lang w:eastAsia="en-US"/>
              </w:rPr>
            </w:pPr>
            <w:r>
              <w:rPr>
                <w:sz w:val="20"/>
              </w:rPr>
              <w:t>Ouyang et al., 2013</w:t>
            </w:r>
          </w:p>
        </w:tc>
        <w:tc>
          <w:tcPr>
            <w:tcW w:w="2410" w:type="dxa"/>
            <w:gridSpan w:val="3"/>
            <w:shd w:val="clear" w:color="auto" w:fill="auto"/>
          </w:tcPr>
          <w:p w14:paraId="3160D269" w14:textId="77777777" w:rsidR="009B7B2A" w:rsidRPr="002C4DE8" w:rsidRDefault="009B7B2A" w:rsidP="009B7B2A">
            <w:pPr>
              <w:overflowPunct w:val="0"/>
              <w:autoSpaceDE w:val="0"/>
              <w:autoSpaceDN w:val="0"/>
              <w:adjustRightInd w:val="0"/>
              <w:ind w:right="-612"/>
              <w:jc w:val="both"/>
              <w:rPr>
                <w:color w:val="auto"/>
                <w:sz w:val="20"/>
                <w:szCs w:val="24"/>
                <w:lang w:eastAsia="en-US"/>
              </w:rPr>
            </w:pPr>
            <w:r w:rsidRPr="002C4DE8">
              <w:rPr>
                <w:color w:val="auto"/>
                <w:sz w:val="20"/>
              </w:rPr>
              <w:t>RR-LP-</w:t>
            </w:r>
            <w:proofErr w:type="spellStart"/>
            <w:r w:rsidRPr="002C4DE8">
              <w:rPr>
                <w:color w:val="auto"/>
                <w:sz w:val="20"/>
              </w:rPr>
              <w:t>UVvis</w:t>
            </w:r>
            <w:proofErr w:type="spellEnd"/>
            <w:r w:rsidRPr="002C4DE8">
              <w:rPr>
                <w:color w:val="auto"/>
                <w:sz w:val="20"/>
              </w:rPr>
              <w:t xml:space="preserve"> (</w:t>
            </w:r>
            <w:proofErr w:type="spellStart"/>
            <w:r w:rsidR="003C4E5D">
              <w:rPr>
                <w:color w:val="auto"/>
                <w:sz w:val="20"/>
              </w:rPr>
              <w:t>i</w:t>
            </w:r>
            <w:proofErr w:type="spellEnd"/>
            <w:r w:rsidRPr="002C4DE8">
              <w:rPr>
                <w:color w:val="auto"/>
                <w:sz w:val="20"/>
              </w:rPr>
              <w:t>)</w:t>
            </w:r>
          </w:p>
        </w:tc>
      </w:tr>
      <w:tr w:rsidR="009B7B2A" w:rsidRPr="001D3940" w14:paraId="00A0D055" w14:textId="77777777" w:rsidTr="00E8367B">
        <w:tc>
          <w:tcPr>
            <w:tcW w:w="3216" w:type="dxa"/>
            <w:shd w:val="clear" w:color="auto" w:fill="auto"/>
          </w:tcPr>
          <w:p w14:paraId="1EB66FC2" w14:textId="426C7265" w:rsidR="009B7B2A" w:rsidRDefault="009B7B2A" w:rsidP="009B7B2A">
            <w:pPr>
              <w:overflowPunct w:val="0"/>
              <w:autoSpaceDE w:val="0"/>
              <w:autoSpaceDN w:val="0"/>
              <w:adjustRightInd w:val="0"/>
              <w:ind w:right="-612"/>
              <w:jc w:val="both"/>
              <w:rPr>
                <w:sz w:val="20"/>
                <w:szCs w:val="24"/>
                <w:lang w:eastAsia="en-US"/>
              </w:rPr>
            </w:pPr>
            <w:r>
              <w:rPr>
                <w:i/>
                <w:sz w:val="20"/>
              </w:rPr>
              <w:t>k</w:t>
            </w:r>
            <w:r>
              <w:rPr>
                <w:sz w:val="20"/>
                <w:vertAlign w:val="subscript"/>
              </w:rPr>
              <w:t>2</w:t>
            </w:r>
            <w:r>
              <w:rPr>
                <w:sz w:val="20"/>
              </w:rPr>
              <w:t xml:space="preserve"> = (1.</w:t>
            </w:r>
            <w:r w:rsidR="00DF18E4">
              <w:rPr>
                <w:sz w:val="20"/>
              </w:rPr>
              <w:t>0</w:t>
            </w:r>
            <w:r w:rsidR="00DF18E4">
              <w:rPr>
                <w:sz w:val="20"/>
              </w:rPr>
              <w:t>7</w:t>
            </w:r>
            <w:r w:rsidR="00DF18E4">
              <w:rPr>
                <w:sz w:val="20"/>
              </w:rPr>
              <w:t xml:space="preserve"> </w:t>
            </w:r>
            <w:r>
              <w:rPr>
                <w:sz w:val="20"/>
              </w:rPr>
              <w:t xml:space="preserve">± 0.04) </w:t>
            </w:r>
            <w:r w:rsidRPr="006210EF">
              <w:rPr>
                <w:rFonts w:ascii="Symbol" w:eastAsia="Symbol" w:hAnsi="Symbol" w:cs="Symbol"/>
                <w:color w:val="auto"/>
                <w:sz w:val="20"/>
              </w:rPr>
              <w:t></w:t>
            </w:r>
            <w:r>
              <w:rPr>
                <w:sz w:val="20"/>
              </w:rPr>
              <w:t xml:space="preserve"> 10</w:t>
            </w:r>
            <w:r>
              <w:rPr>
                <w:sz w:val="20"/>
                <w:vertAlign w:val="superscript"/>
              </w:rPr>
              <w:t>-11</w:t>
            </w:r>
          </w:p>
        </w:tc>
        <w:tc>
          <w:tcPr>
            <w:tcW w:w="992" w:type="dxa"/>
            <w:shd w:val="clear" w:color="auto" w:fill="auto"/>
          </w:tcPr>
          <w:p w14:paraId="57EA2DA2" w14:textId="77777777" w:rsidR="009B7B2A" w:rsidRDefault="009B7B2A" w:rsidP="009B7B2A">
            <w:pPr>
              <w:overflowPunct w:val="0"/>
              <w:autoSpaceDE w:val="0"/>
              <w:autoSpaceDN w:val="0"/>
              <w:adjustRightInd w:val="0"/>
              <w:ind w:right="-612"/>
              <w:rPr>
                <w:sz w:val="20"/>
                <w:szCs w:val="24"/>
                <w:lang w:eastAsia="en-US"/>
              </w:rPr>
            </w:pPr>
            <w:r>
              <w:rPr>
                <w:sz w:val="20"/>
              </w:rPr>
              <w:t>293</w:t>
            </w:r>
          </w:p>
        </w:tc>
        <w:tc>
          <w:tcPr>
            <w:tcW w:w="2268" w:type="dxa"/>
            <w:gridSpan w:val="2"/>
            <w:shd w:val="clear" w:color="auto" w:fill="auto"/>
          </w:tcPr>
          <w:p w14:paraId="4DE5769E" w14:textId="77777777" w:rsidR="009B7B2A" w:rsidRDefault="009B7B2A" w:rsidP="009B7B2A">
            <w:pPr>
              <w:overflowPunct w:val="0"/>
              <w:autoSpaceDE w:val="0"/>
              <w:autoSpaceDN w:val="0"/>
              <w:adjustRightInd w:val="0"/>
              <w:ind w:right="-612"/>
              <w:rPr>
                <w:sz w:val="20"/>
                <w:szCs w:val="24"/>
                <w:lang w:eastAsia="en-US"/>
              </w:rPr>
            </w:pPr>
            <w:r>
              <w:rPr>
                <w:sz w:val="20"/>
              </w:rPr>
              <w:t>Berndt et al., 2014</w:t>
            </w:r>
          </w:p>
        </w:tc>
        <w:tc>
          <w:tcPr>
            <w:tcW w:w="2410" w:type="dxa"/>
            <w:gridSpan w:val="3"/>
            <w:shd w:val="clear" w:color="auto" w:fill="auto"/>
          </w:tcPr>
          <w:p w14:paraId="77047246" w14:textId="77777777" w:rsidR="009B7B2A" w:rsidRPr="002C4DE8" w:rsidRDefault="009B7B2A" w:rsidP="009B7B2A">
            <w:pPr>
              <w:overflowPunct w:val="0"/>
              <w:autoSpaceDE w:val="0"/>
              <w:autoSpaceDN w:val="0"/>
              <w:adjustRightInd w:val="0"/>
              <w:ind w:right="-612"/>
              <w:jc w:val="both"/>
              <w:rPr>
                <w:color w:val="auto"/>
                <w:sz w:val="20"/>
                <w:szCs w:val="24"/>
                <w:lang w:eastAsia="en-US"/>
              </w:rPr>
            </w:pPr>
            <w:r w:rsidRPr="002C4DE8">
              <w:rPr>
                <w:color w:val="auto"/>
                <w:sz w:val="20"/>
              </w:rPr>
              <w:t>RR-AFT-CIMS(</w:t>
            </w:r>
            <w:proofErr w:type="spellStart"/>
            <w:r w:rsidRPr="002C4DE8">
              <w:rPr>
                <w:color w:val="auto"/>
                <w:sz w:val="20"/>
              </w:rPr>
              <w:t>ToF</w:t>
            </w:r>
            <w:proofErr w:type="spellEnd"/>
            <w:r w:rsidRPr="002C4DE8">
              <w:rPr>
                <w:color w:val="auto"/>
                <w:sz w:val="20"/>
              </w:rPr>
              <w:t>) (</w:t>
            </w:r>
            <w:r w:rsidR="003C4E5D">
              <w:rPr>
                <w:color w:val="auto"/>
                <w:sz w:val="20"/>
              </w:rPr>
              <w:t>j</w:t>
            </w:r>
            <w:r w:rsidRPr="002C4DE8">
              <w:rPr>
                <w:color w:val="auto"/>
                <w:sz w:val="20"/>
              </w:rPr>
              <w:t>)</w:t>
            </w:r>
          </w:p>
        </w:tc>
      </w:tr>
      <w:tr w:rsidR="009B7B2A" w:rsidRPr="001D3940" w14:paraId="5986944B" w14:textId="77777777" w:rsidTr="00E8367B">
        <w:tc>
          <w:tcPr>
            <w:tcW w:w="3216" w:type="dxa"/>
            <w:shd w:val="clear" w:color="auto" w:fill="auto"/>
          </w:tcPr>
          <w:p w14:paraId="34650BBF" w14:textId="556D5958" w:rsidR="009B7B2A" w:rsidRDefault="009B7B2A" w:rsidP="009B7B2A">
            <w:pPr>
              <w:overflowPunct w:val="0"/>
              <w:autoSpaceDE w:val="0"/>
              <w:autoSpaceDN w:val="0"/>
              <w:adjustRightInd w:val="0"/>
              <w:ind w:right="-612"/>
              <w:jc w:val="both"/>
              <w:rPr>
                <w:i/>
                <w:sz w:val="20"/>
              </w:rPr>
            </w:pPr>
            <w:r w:rsidRPr="00C962E9">
              <w:rPr>
                <w:i/>
                <w:sz w:val="20"/>
              </w:rPr>
              <w:t>k</w:t>
            </w:r>
            <w:r w:rsidRPr="00C962E9">
              <w:rPr>
                <w:sz w:val="20"/>
                <w:vertAlign w:val="subscript"/>
              </w:rPr>
              <w:t>1</w:t>
            </w:r>
            <w:r>
              <w:rPr>
                <w:sz w:val="20"/>
              </w:rPr>
              <w:t xml:space="preserve"> = (9.</w:t>
            </w:r>
            <w:r w:rsidR="00DF18E4">
              <w:rPr>
                <w:sz w:val="20"/>
              </w:rPr>
              <w:t>3</w:t>
            </w:r>
            <w:r w:rsidR="00DF18E4">
              <w:rPr>
                <w:sz w:val="20"/>
              </w:rPr>
              <w:t xml:space="preserve"> </w:t>
            </w:r>
            <w:r>
              <w:rPr>
                <w:sz w:val="20"/>
              </w:rPr>
              <w:t xml:space="preserve">± 2.6) </w:t>
            </w:r>
            <w:r w:rsidRPr="006210EF">
              <w:rPr>
                <w:rFonts w:ascii="Symbol" w:eastAsia="Symbol" w:hAnsi="Symbol" w:cs="Symbol"/>
                <w:color w:val="auto"/>
                <w:sz w:val="20"/>
              </w:rPr>
              <w:t></w:t>
            </w:r>
            <w:r>
              <w:rPr>
                <w:sz w:val="20"/>
              </w:rPr>
              <w:t xml:space="preserve"> 10</w:t>
            </w:r>
            <w:r>
              <w:rPr>
                <w:sz w:val="20"/>
                <w:vertAlign w:val="superscript"/>
              </w:rPr>
              <w:t>-16</w:t>
            </w:r>
          </w:p>
        </w:tc>
        <w:tc>
          <w:tcPr>
            <w:tcW w:w="992" w:type="dxa"/>
            <w:shd w:val="clear" w:color="auto" w:fill="auto"/>
          </w:tcPr>
          <w:p w14:paraId="23806113" w14:textId="77777777" w:rsidR="009B7B2A" w:rsidRDefault="009B7B2A" w:rsidP="009B7B2A">
            <w:pPr>
              <w:overflowPunct w:val="0"/>
              <w:autoSpaceDE w:val="0"/>
              <w:autoSpaceDN w:val="0"/>
              <w:adjustRightInd w:val="0"/>
              <w:ind w:right="-612"/>
              <w:rPr>
                <w:sz w:val="20"/>
              </w:rPr>
            </w:pPr>
            <w:r>
              <w:rPr>
                <w:sz w:val="20"/>
              </w:rPr>
              <w:t>298</w:t>
            </w:r>
          </w:p>
        </w:tc>
        <w:tc>
          <w:tcPr>
            <w:tcW w:w="2268" w:type="dxa"/>
            <w:gridSpan w:val="2"/>
            <w:shd w:val="clear" w:color="auto" w:fill="auto"/>
          </w:tcPr>
          <w:p w14:paraId="0F18EE35" w14:textId="77777777" w:rsidR="009B7B2A" w:rsidRDefault="009B7B2A" w:rsidP="009B7B2A">
            <w:pPr>
              <w:overflowPunct w:val="0"/>
              <w:autoSpaceDE w:val="0"/>
              <w:autoSpaceDN w:val="0"/>
              <w:adjustRightInd w:val="0"/>
              <w:ind w:right="-612"/>
              <w:rPr>
                <w:sz w:val="20"/>
                <w:szCs w:val="24"/>
                <w:lang w:eastAsia="en-US"/>
              </w:rPr>
            </w:pPr>
            <w:r>
              <w:rPr>
                <w:sz w:val="20"/>
              </w:rPr>
              <w:t>Newland et al., 2015</w:t>
            </w:r>
          </w:p>
        </w:tc>
        <w:tc>
          <w:tcPr>
            <w:tcW w:w="2410" w:type="dxa"/>
            <w:gridSpan w:val="3"/>
            <w:shd w:val="clear" w:color="auto" w:fill="auto"/>
          </w:tcPr>
          <w:p w14:paraId="4A773059" w14:textId="77777777" w:rsidR="009B7B2A" w:rsidRPr="002C4DE8" w:rsidRDefault="009B7B2A" w:rsidP="009B7B2A">
            <w:pPr>
              <w:ind w:right="-612"/>
              <w:jc w:val="both"/>
              <w:rPr>
                <w:color w:val="auto"/>
                <w:sz w:val="20"/>
                <w:szCs w:val="24"/>
                <w:lang w:eastAsia="en-US"/>
              </w:rPr>
            </w:pPr>
            <w:r w:rsidRPr="002C4DE8">
              <w:rPr>
                <w:color w:val="auto"/>
                <w:sz w:val="20"/>
              </w:rPr>
              <w:t>RR-FTIR/UVAS/UVF (</w:t>
            </w:r>
            <w:r w:rsidR="003C4E5D">
              <w:rPr>
                <w:color w:val="auto"/>
                <w:sz w:val="20"/>
              </w:rPr>
              <w:t>k</w:t>
            </w:r>
            <w:r w:rsidRPr="002C4DE8">
              <w:rPr>
                <w:color w:val="auto"/>
                <w:sz w:val="20"/>
              </w:rPr>
              <w:t>)</w:t>
            </w:r>
          </w:p>
        </w:tc>
      </w:tr>
      <w:tr w:rsidR="009B7B2A" w:rsidRPr="001D3940" w14:paraId="56868CC0" w14:textId="77777777" w:rsidTr="009E16CC">
        <w:tc>
          <w:tcPr>
            <w:tcW w:w="3216" w:type="dxa"/>
            <w:shd w:val="clear" w:color="auto" w:fill="auto"/>
          </w:tcPr>
          <w:p w14:paraId="1AF3EE32" w14:textId="047BA8E7" w:rsidR="009B7B2A" w:rsidRDefault="009B7B2A" w:rsidP="009B7B2A">
            <w:pPr>
              <w:overflowPunct w:val="0"/>
              <w:autoSpaceDE w:val="0"/>
              <w:autoSpaceDN w:val="0"/>
              <w:adjustRightInd w:val="0"/>
              <w:spacing w:after="120"/>
              <w:ind w:right="-612"/>
              <w:jc w:val="both"/>
              <w:rPr>
                <w:sz w:val="20"/>
                <w:szCs w:val="24"/>
                <w:lang w:eastAsia="en-US"/>
              </w:rPr>
            </w:pPr>
            <w:r>
              <w:rPr>
                <w:i/>
                <w:sz w:val="20"/>
              </w:rPr>
              <w:t>k</w:t>
            </w:r>
            <w:r>
              <w:rPr>
                <w:sz w:val="20"/>
                <w:vertAlign w:val="subscript"/>
              </w:rPr>
              <w:t>2</w:t>
            </w:r>
            <w:r>
              <w:rPr>
                <w:sz w:val="20"/>
              </w:rPr>
              <w:t xml:space="preserve"> = (5.</w:t>
            </w:r>
            <w:r w:rsidR="00DF18E4">
              <w:rPr>
                <w:sz w:val="20"/>
              </w:rPr>
              <w:t>2</w:t>
            </w:r>
            <w:r w:rsidR="00DF18E4">
              <w:rPr>
                <w:sz w:val="20"/>
              </w:rPr>
              <w:t xml:space="preserve"> </w:t>
            </w:r>
            <w:r>
              <w:rPr>
                <w:sz w:val="20"/>
              </w:rPr>
              <w:t>± 6.</w:t>
            </w:r>
            <w:r w:rsidR="00DF18E4">
              <w:rPr>
                <w:sz w:val="20"/>
              </w:rPr>
              <w:t>7</w:t>
            </w:r>
            <w:r>
              <w:rPr>
                <w:sz w:val="20"/>
              </w:rPr>
              <w:t xml:space="preserve">) </w:t>
            </w:r>
            <w:r w:rsidRPr="006210EF">
              <w:rPr>
                <w:rFonts w:ascii="Symbol" w:eastAsia="Symbol" w:hAnsi="Symbol" w:cs="Symbol"/>
                <w:color w:val="auto"/>
                <w:sz w:val="20"/>
              </w:rPr>
              <w:t></w:t>
            </w:r>
            <w:r>
              <w:rPr>
                <w:sz w:val="20"/>
              </w:rPr>
              <w:t xml:space="preserve"> 10</w:t>
            </w:r>
            <w:r>
              <w:rPr>
                <w:sz w:val="20"/>
                <w:vertAlign w:val="superscript"/>
              </w:rPr>
              <w:t>-13</w:t>
            </w:r>
          </w:p>
        </w:tc>
        <w:tc>
          <w:tcPr>
            <w:tcW w:w="992" w:type="dxa"/>
            <w:shd w:val="clear" w:color="auto" w:fill="auto"/>
          </w:tcPr>
          <w:p w14:paraId="1B05ABB0" w14:textId="77777777" w:rsidR="009B7B2A" w:rsidRDefault="009B7B2A" w:rsidP="009B7B2A">
            <w:pPr>
              <w:overflowPunct w:val="0"/>
              <w:autoSpaceDE w:val="0"/>
              <w:autoSpaceDN w:val="0"/>
              <w:adjustRightInd w:val="0"/>
              <w:spacing w:after="120"/>
              <w:ind w:right="-612"/>
              <w:rPr>
                <w:sz w:val="20"/>
                <w:szCs w:val="24"/>
                <w:lang w:eastAsia="en-US"/>
              </w:rPr>
            </w:pPr>
            <w:r>
              <w:rPr>
                <w:sz w:val="20"/>
              </w:rPr>
              <w:t>298</w:t>
            </w:r>
          </w:p>
        </w:tc>
        <w:tc>
          <w:tcPr>
            <w:tcW w:w="2268" w:type="dxa"/>
            <w:gridSpan w:val="2"/>
            <w:shd w:val="clear" w:color="auto" w:fill="auto"/>
          </w:tcPr>
          <w:p w14:paraId="43984944" w14:textId="77777777" w:rsidR="009B7B2A" w:rsidRDefault="009B7B2A" w:rsidP="009B7B2A">
            <w:pPr>
              <w:overflowPunct w:val="0"/>
              <w:autoSpaceDE w:val="0"/>
              <w:autoSpaceDN w:val="0"/>
              <w:adjustRightInd w:val="0"/>
              <w:spacing w:after="120"/>
              <w:ind w:right="-612"/>
              <w:rPr>
                <w:sz w:val="20"/>
                <w:szCs w:val="24"/>
                <w:lang w:eastAsia="en-US"/>
              </w:rPr>
            </w:pPr>
          </w:p>
        </w:tc>
        <w:tc>
          <w:tcPr>
            <w:tcW w:w="2410" w:type="dxa"/>
            <w:gridSpan w:val="3"/>
            <w:shd w:val="clear" w:color="auto" w:fill="auto"/>
          </w:tcPr>
          <w:p w14:paraId="443F96BC" w14:textId="77777777" w:rsidR="009B7B2A" w:rsidRPr="002C4DE8" w:rsidRDefault="009B7B2A" w:rsidP="009B7B2A">
            <w:pPr>
              <w:spacing w:after="120"/>
              <w:ind w:right="-612"/>
              <w:jc w:val="both"/>
              <w:rPr>
                <w:color w:val="auto"/>
                <w:sz w:val="20"/>
                <w:szCs w:val="24"/>
                <w:lang w:eastAsia="en-US"/>
              </w:rPr>
            </w:pPr>
          </w:p>
        </w:tc>
      </w:tr>
      <w:tr w:rsidR="009B7B2A" w:rsidRPr="001D3940" w14:paraId="7D1A83F1" w14:textId="77777777" w:rsidTr="009E16CC">
        <w:tc>
          <w:tcPr>
            <w:tcW w:w="3216" w:type="dxa"/>
            <w:shd w:val="clear" w:color="auto" w:fill="auto"/>
          </w:tcPr>
          <w:p w14:paraId="02D29585" w14:textId="77777777" w:rsidR="009B7B2A" w:rsidRDefault="009B7B2A" w:rsidP="009B7B2A">
            <w:pPr>
              <w:overflowPunct w:val="0"/>
              <w:autoSpaceDE w:val="0"/>
              <w:autoSpaceDN w:val="0"/>
              <w:adjustRightInd w:val="0"/>
              <w:ind w:right="-612"/>
              <w:jc w:val="both"/>
              <w:rPr>
                <w:i/>
                <w:sz w:val="20"/>
              </w:rPr>
            </w:pPr>
            <w:r>
              <w:rPr>
                <w:i/>
                <w:sz w:val="20"/>
              </w:rPr>
              <w:t>Branching ratios</w:t>
            </w:r>
          </w:p>
        </w:tc>
        <w:tc>
          <w:tcPr>
            <w:tcW w:w="992" w:type="dxa"/>
            <w:shd w:val="clear" w:color="auto" w:fill="auto"/>
          </w:tcPr>
          <w:p w14:paraId="63BEB4C7" w14:textId="77777777" w:rsidR="009B7B2A" w:rsidRDefault="009B7B2A" w:rsidP="009B7B2A">
            <w:pPr>
              <w:overflowPunct w:val="0"/>
              <w:autoSpaceDE w:val="0"/>
              <w:autoSpaceDN w:val="0"/>
              <w:adjustRightInd w:val="0"/>
              <w:ind w:right="-612"/>
              <w:rPr>
                <w:sz w:val="20"/>
              </w:rPr>
            </w:pPr>
          </w:p>
        </w:tc>
        <w:tc>
          <w:tcPr>
            <w:tcW w:w="2268" w:type="dxa"/>
            <w:gridSpan w:val="2"/>
            <w:shd w:val="clear" w:color="auto" w:fill="auto"/>
          </w:tcPr>
          <w:p w14:paraId="262A2F9B" w14:textId="77777777" w:rsidR="009B7B2A" w:rsidRDefault="009B7B2A" w:rsidP="009B7B2A">
            <w:pPr>
              <w:overflowPunct w:val="0"/>
              <w:autoSpaceDE w:val="0"/>
              <w:autoSpaceDN w:val="0"/>
              <w:adjustRightInd w:val="0"/>
              <w:ind w:right="-612"/>
              <w:rPr>
                <w:sz w:val="20"/>
                <w:szCs w:val="24"/>
                <w:lang w:eastAsia="en-US"/>
              </w:rPr>
            </w:pPr>
          </w:p>
        </w:tc>
        <w:tc>
          <w:tcPr>
            <w:tcW w:w="2410" w:type="dxa"/>
            <w:gridSpan w:val="3"/>
            <w:shd w:val="clear" w:color="auto" w:fill="auto"/>
          </w:tcPr>
          <w:p w14:paraId="3B711AB6" w14:textId="77777777" w:rsidR="009B7B2A" w:rsidRPr="002C4DE8" w:rsidRDefault="009B7B2A" w:rsidP="009B7B2A">
            <w:pPr>
              <w:ind w:right="-612"/>
              <w:jc w:val="both"/>
              <w:rPr>
                <w:color w:val="auto"/>
                <w:sz w:val="20"/>
                <w:szCs w:val="24"/>
                <w:lang w:eastAsia="en-US"/>
              </w:rPr>
            </w:pPr>
          </w:p>
        </w:tc>
      </w:tr>
      <w:tr w:rsidR="009B7B2A" w:rsidRPr="001D3940" w14:paraId="2A8ADB69" w14:textId="77777777" w:rsidTr="009E16CC">
        <w:tc>
          <w:tcPr>
            <w:tcW w:w="3216" w:type="dxa"/>
            <w:shd w:val="clear" w:color="auto" w:fill="auto"/>
          </w:tcPr>
          <w:p w14:paraId="7D44ADDB" w14:textId="77777777" w:rsidR="009B7B2A" w:rsidRDefault="009B7B2A" w:rsidP="009B7B2A">
            <w:pPr>
              <w:overflowPunct w:val="0"/>
              <w:autoSpaceDE w:val="0"/>
              <w:autoSpaceDN w:val="0"/>
              <w:adjustRightInd w:val="0"/>
              <w:ind w:right="-612"/>
              <w:jc w:val="both"/>
              <w:rPr>
                <w:sz w:val="20"/>
                <w:szCs w:val="24"/>
                <w:lang w:eastAsia="en-US"/>
              </w:rPr>
            </w:pPr>
            <w:r w:rsidRPr="00C962E9">
              <w:rPr>
                <w:i/>
                <w:sz w:val="20"/>
              </w:rPr>
              <w:t>k</w:t>
            </w:r>
            <w:r w:rsidRPr="00C962E9">
              <w:rPr>
                <w:sz w:val="20"/>
                <w:vertAlign w:val="subscript"/>
              </w:rPr>
              <w:t>1</w:t>
            </w:r>
            <w:r>
              <w:rPr>
                <w:sz w:val="20"/>
                <w:vertAlign w:val="subscript"/>
              </w:rPr>
              <w:t>a</w:t>
            </w:r>
            <w:r>
              <w:rPr>
                <w:sz w:val="20"/>
              </w:rPr>
              <w:t>/</w:t>
            </w:r>
            <w:r w:rsidRPr="009E16CC">
              <w:rPr>
                <w:i/>
                <w:sz w:val="20"/>
              </w:rPr>
              <w:t>k</w:t>
            </w:r>
            <w:r w:rsidRPr="009E16CC">
              <w:rPr>
                <w:sz w:val="20"/>
                <w:vertAlign w:val="subscript"/>
              </w:rPr>
              <w:t>1</w:t>
            </w:r>
            <w:r>
              <w:rPr>
                <w:sz w:val="20"/>
              </w:rPr>
              <w:t xml:space="preserve"> = 0.73</w:t>
            </w:r>
            <w:r>
              <w:rPr>
                <w:sz w:val="20"/>
                <w:vertAlign w:val="superscript"/>
              </w:rPr>
              <w:t xml:space="preserve">  </w:t>
            </w:r>
          </w:p>
        </w:tc>
        <w:tc>
          <w:tcPr>
            <w:tcW w:w="992" w:type="dxa"/>
            <w:shd w:val="clear" w:color="auto" w:fill="auto"/>
          </w:tcPr>
          <w:p w14:paraId="4ECEADC2" w14:textId="77777777" w:rsidR="009B7B2A" w:rsidRDefault="009B7B2A" w:rsidP="009B7B2A">
            <w:pPr>
              <w:overflowPunct w:val="0"/>
              <w:autoSpaceDE w:val="0"/>
              <w:autoSpaceDN w:val="0"/>
              <w:adjustRightInd w:val="0"/>
              <w:ind w:right="-612"/>
              <w:rPr>
                <w:iCs/>
                <w:sz w:val="20"/>
                <w:szCs w:val="24"/>
                <w:lang w:eastAsia="en-US"/>
              </w:rPr>
            </w:pPr>
            <w:r>
              <w:rPr>
                <w:iCs/>
                <w:sz w:val="20"/>
              </w:rPr>
              <w:t>295</w:t>
            </w:r>
          </w:p>
        </w:tc>
        <w:tc>
          <w:tcPr>
            <w:tcW w:w="2268" w:type="dxa"/>
            <w:gridSpan w:val="2"/>
            <w:shd w:val="clear" w:color="auto" w:fill="auto"/>
          </w:tcPr>
          <w:p w14:paraId="69ECC769" w14:textId="77777777" w:rsidR="009B7B2A" w:rsidRDefault="009B7B2A" w:rsidP="009B7B2A">
            <w:pPr>
              <w:overflowPunct w:val="0"/>
              <w:autoSpaceDE w:val="0"/>
              <w:autoSpaceDN w:val="0"/>
              <w:adjustRightInd w:val="0"/>
              <w:ind w:right="-612"/>
              <w:rPr>
                <w:sz w:val="20"/>
                <w:szCs w:val="24"/>
                <w:lang w:eastAsia="en-US"/>
              </w:rPr>
            </w:pPr>
            <w:r>
              <w:rPr>
                <w:sz w:val="20"/>
                <w:szCs w:val="24"/>
                <w:lang w:eastAsia="en-US"/>
              </w:rPr>
              <w:t>Nguyen et al., 2016</w:t>
            </w:r>
          </w:p>
        </w:tc>
        <w:tc>
          <w:tcPr>
            <w:tcW w:w="2410" w:type="dxa"/>
            <w:gridSpan w:val="3"/>
            <w:shd w:val="clear" w:color="auto" w:fill="auto"/>
          </w:tcPr>
          <w:p w14:paraId="3BAB027A" w14:textId="77777777" w:rsidR="009B7B2A" w:rsidRPr="002C4DE8" w:rsidRDefault="009B7B2A" w:rsidP="009B7B2A">
            <w:pPr>
              <w:ind w:right="-612"/>
              <w:jc w:val="both"/>
              <w:rPr>
                <w:color w:val="auto"/>
                <w:sz w:val="20"/>
                <w:szCs w:val="24"/>
                <w:lang w:eastAsia="en-US"/>
              </w:rPr>
            </w:pPr>
            <w:r>
              <w:rPr>
                <w:color w:val="auto"/>
                <w:sz w:val="20"/>
                <w:szCs w:val="24"/>
                <w:lang w:eastAsia="en-US"/>
              </w:rPr>
              <w:t>(</w:t>
            </w:r>
            <w:r w:rsidR="003C4E5D">
              <w:rPr>
                <w:color w:val="auto"/>
                <w:sz w:val="20"/>
                <w:szCs w:val="24"/>
                <w:lang w:eastAsia="en-US"/>
              </w:rPr>
              <w:t>l</w:t>
            </w:r>
            <w:r>
              <w:rPr>
                <w:color w:val="auto"/>
                <w:sz w:val="20"/>
                <w:szCs w:val="24"/>
                <w:lang w:eastAsia="en-US"/>
              </w:rPr>
              <w:t>)</w:t>
            </w:r>
          </w:p>
        </w:tc>
      </w:tr>
      <w:tr w:rsidR="009B7B2A" w:rsidRPr="001D3940" w14:paraId="72775CE6" w14:textId="77777777" w:rsidTr="009E16CC">
        <w:tc>
          <w:tcPr>
            <w:tcW w:w="3216" w:type="dxa"/>
            <w:shd w:val="clear" w:color="auto" w:fill="auto"/>
          </w:tcPr>
          <w:p w14:paraId="2C1023DC" w14:textId="77777777" w:rsidR="009B7B2A" w:rsidRDefault="009B7B2A" w:rsidP="009B7B2A">
            <w:pPr>
              <w:overflowPunct w:val="0"/>
              <w:autoSpaceDE w:val="0"/>
              <w:autoSpaceDN w:val="0"/>
              <w:adjustRightInd w:val="0"/>
              <w:ind w:right="-612"/>
              <w:jc w:val="both"/>
              <w:rPr>
                <w:sz w:val="20"/>
                <w:szCs w:val="24"/>
                <w:lang w:eastAsia="en-US"/>
              </w:rPr>
            </w:pPr>
            <w:r w:rsidRPr="00C962E9">
              <w:rPr>
                <w:i/>
                <w:sz w:val="20"/>
              </w:rPr>
              <w:t>k</w:t>
            </w:r>
            <w:r w:rsidRPr="00C962E9">
              <w:rPr>
                <w:sz w:val="20"/>
                <w:vertAlign w:val="subscript"/>
              </w:rPr>
              <w:t>1</w:t>
            </w:r>
            <w:r>
              <w:rPr>
                <w:sz w:val="20"/>
                <w:vertAlign w:val="subscript"/>
              </w:rPr>
              <w:t>b</w:t>
            </w:r>
            <w:r>
              <w:rPr>
                <w:sz w:val="20"/>
              </w:rPr>
              <w:t>/</w:t>
            </w:r>
            <w:r w:rsidRPr="009E16CC">
              <w:rPr>
                <w:i/>
                <w:sz w:val="20"/>
              </w:rPr>
              <w:t>k</w:t>
            </w:r>
            <w:r w:rsidRPr="009E16CC">
              <w:rPr>
                <w:sz w:val="20"/>
                <w:vertAlign w:val="subscript"/>
              </w:rPr>
              <w:t>1</w:t>
            </w:r>
            <w:r>
              <w:rPr>
                <w:sz w:val="20"/>
              </w:rPr>
              <w:t xml:space="preserve"> = 0.06</w:t>
            </w:r>
            <w:r>
              <w:rPr>
                <w:sz w:val="20"/>
                <w:vertAlign w:val="superscript"/>
              </w:rPr>
              <w:t xml:space="preserve">  </w:t>
            </w:r>
          </w:p>
        </w:tc>
        <w:tc>
          <w:tcPr>
            <w:tcW w:w="992" w:type="dxa"/>
            <w:shd w:val="clear" w:color="auto" w:fill="auto"/>
          </w:tcPr>
          <w:p w14:paraId="023C8B2A" w14:textId="77777777" w:rsidR="009B7B2A" w:rsidRDefault="009B7B2A" w:rsidP="009B7B2A">
            <w:pPr>
              <w:overflowPunct w:val="0"/>
              <w:autoSpaceDE w:val="0"/>
              <w:autoSpaceDN w:val="0"/>
              <w:adjustRightInd w:val="0"/>
              <w:ind w:right="-612"/>
              <w:rPr>
                <w:iCs/>
                <w:sz w:val="20"/>
                <w:szCs w:val="24"/>
                <w:lang w:eastAsia="en-US"/>
              </w:rPr>
            </w:pPr>
            <w:r>
              <w:rPr>
                <w:iCs/>
                <w:sz w:val="20"/>
              </w:rPr>
              <w:t>295</w:t>
            </w:r>
          </w:p>
        </w:tc>
        <w:tc>
          <w:tcPr>
            <w:tcW w:w="2268" w:type="dxa"/>
            <w:gridSpan w:val="2"/>
            <w:shd w:val="clear" w:color="auto" w:fill="auto"/>
          </w:tcPr>
          <w:p w14:paraId="67B36E5F" w14:textId="77777777" w:rsidR="009B7B2A" w:rsidRDefault="009B7B2A" w:rsidP="009B7B2A">
            <w:pPr>
              <w:overflowPunct w:val="0"/>
              <w:autoSpaceDE w:val="0"/>
              <w:autoSpaceDN w:val="0"/>
              <w:adjustRightInd w:val="0"/>
              <w:ind w:right="-612"/>
              <w:rPr>
                <w:sz w:val="20"/>
                <w:szCs w:val="24"/>
                <w:lang w:eastAsia="en-US"/>
              </w:rPr>
            </w:pPr>
          </w:p>
        </w:tc>
        <w:tc>
          <w:tcPr>
            <w:tcW w:w="2410" w:type="dxa"/>
            <w:gridSpan w:val="3"/>
            <w:shd w:val="clear" w:color="auto" w:fill="auto"/>
          </w:tcPr>
          <w:p w14:paraId="699E217B" w14:textId="77777777" w:rsidR="009B7B2A" w:rsidRPr="002C4DE8" w:rsidRDefault="009B7B2A" w:rsidP="009B7B2A">
            <w:pPr>
              <w:ind w:right="-612"/>
              <w:jc w:val="both"/>
              <w:rPr>
                <w:color w:val="auto"/>
                <w:sz w:val="20"/>
                <w:szCs w:val="24"/>
                <w:lang w:eastAsia="en-US"/>
              </w:rPr>
            </w:pPr>
          </w:p>
        </w:tc>
      </w:tr>
      <w:tr w:rsidR="009B7B2A" w:rsidRPr="001D3940" w14:paraId="7723E545" w14:textId="77777777" w:rsidTr="009E16CC">
        <w:tc>
          <w:tcPr>
            <w:tcW w:w="3216" w:type="dxa"/>
            <w:shd w:val="clear" w:color="auto" w:fill="auto"/>
          </w:tcPr>
          <w:p w14:paraId="6833CF00" w14:textId="77777777" w:rsidR="009B7B2A" w:rsidRDefault="009B7B2A" w:rsidP="009B7B2A">
            <w:pPr>
              <w:overflowPunct w:val="0"/>
              <w:autoSpaceDE w:val="0"/>
              <w:autoSpaceDN w:val="0"/>
              <w:adjustRightInd w:val="0"/>
              <w:ind w:right="-612"/>
              <w:jc w:val="both"/>
              <w:rPr>
                <w:sz w:val="20"/>
                <w:szCs w:val="24"/>
                <w:lang w:eastAsia="en-US"/>
              </w:rPr>
            </w:pPr>
            <w:r w:rsidRPr="00C962E9">
              <w:rPr>
                <w:i/>
                <w:sz w:val="20"/>
              </w:rPr>
              <w:t>k</w:t>
            </w:r>
            <w:r w:rsidRPr="00C962E9">
              <w:rPr>
                <w:sz w:val="20"/>
                <w:vertAlign w:val="subscript"/>
              </w:rPr>
              <w:t>1</w:t>
            </w:r>
            <w:r>
              <w:rPr>
                <w:sz w:val="20"/>
                <w:vertAlign w:val="subscript"/>
              </w:rPr>
              <w:t>c</w:t>
            </w:r>
            <w:r>
              <w:rPr>
                <w:sz w:val="20"/>
              </w:rPr>
              <w:t>/</w:t>
            </w:r>
            <w:r w:rsidRPr="009E16CC">
              <w:rPr>
                <w:i/>
                <w:sz w:val="20"/>
              </w:rPr>
              <w:t>k</w:t>
            </w:r>
            <w:r w:rsidRPr="009E16CC">
              <w:rPr>
                <w:sz w:val="20"/>
                <w:vertAlign w:val="subscript"/>
              </w:rPr>
              <w:t>1</w:t>
            </w:r>
            <w:r>
              <w:rPr>
                <w:sz w:val="20"/>
              </w:rPr>
              <w:t xml:space="preserve"> = 0.21</w:t>
            </w:r>
            <w:r>
              <w:rPr>
                <w:sz w:val="20"/>
                <w:vertAlign w:val="superscript"/>
              </w:rPr>
              <w:t xml:space="preserve">  </w:t>
            </w:r>
          </w:p>
        </w:tc>
        <w:tc>
          <w:tcPr>
            <w:tcW w:w="992" w:type="dxa"/>
            <w:shd w:val="clear" w:color="auto" w:fill="auto"/>
          </w:tcPr>
          <w:p w14:paraId="26991F20" w14:textId="77777777" w:rsidR="009B7B2A" w:rsidRDefault="009B7B2A" w:rsidP="009B7B2A">
            <w:pPr>
              <w:overflowPunct w:val="0"/>
              <w:autoSpaceDE w:val="0"/>
              <w:autoSpaceDN w:val="0"/>
              <w:adjustRightInd w:val="0"/>
              <w:ind w:right="-612"/>
              <w:rPr>
                <w:iCs/>
                <w:sz w:val="20"/>
                <w:szCs w:val="24"/>
                <w:lang w:eastAsia="en-US"/>
              </w:rPr>
            </w:pPr>
            <w:r>
              <w:rPr>
                <w:iCs/>
                <w:sz w:val="20"/>
              </w:rPr>
              <w:t>295</w:t>
            </w:r>
          </w:p>
        </w:tc>
        <w:tc>
          <w:tcPr>
            <w:tcW w:w="2268" w:type="dxa"/>
            <w:gridSpan w:val="2"/>
            <w:shd w:val="clear" w:color="auto" w:fill="auto"/>
          </w:tcPr>
          <w:p w14:paraId="5B4BC638" w14:textId="77777777" w:rsidR="009B7B2A" w:rsidRDefault="009B7B2A" w:rsidP="009B7B2A">
            <w:pPr>
              <w:overflowPunct w:val="0"/>
              <w:autoSpaceDE w:val="0"/>
              <w:autoSpaceDN w:val="0"/>
              <w:adjustRightInd w:val="0"/>
              <w:ind w:right="-612"/>
              <w:rPr>
                <w:sz w:val="20"/>
                <w:szCs w:val="24"/>
                <w:lang w:eastAsia="en-US"/>
              </w:rPr>
            </w:pPr>
          </w:p>
        </w:tc>
        <w:tc>
          <w:tcPr>
            <w:tcW w:w="2410" w:type="dxa"/>
            <w:gridSpan w:val="3"/>
            <w:shd w:val="clear" w:color="auto" w:fill="auto"/>
          </w:tcPr>
          <w:p w14:paraId="05004A02" w14:textId="77777777" w:rsidR="009B7B2A" w:rsidRPr="002C4DE8" w:rsidRDefault="009B7B2A" w:rsidP="009B7B2A">
            <w:pPr>
              <w:ind w:right="-612"/>
              <w:jc w:val="both"/>
              <w:rPr>
                <w:color w:val="auto"/>
                <w:sz w:val="20"/>
                <w:szCs w:val="24"/>
                <w:lang w:eastAsia="en-US"/>
              </w:rPr>
            </w:pPr>
          </w:p>
        </w:tc>
      </w:tr>
      <w:tr w:rsidR="009B7B2A" w:rsidRPr="001D3940" w14:paraId="12B79684" w14:textId="77777777" w:rsidTr="009E16CC">
        <w:tc>
          <w:tcPr>
            <w:tcW w:w="3216" w:type="dxa"/>
            <w:shd w:val="clear" w:color="auto" w:fill="auto"/>
          </w:tcPr>
          <w:p w14:paraId="371F9143" w14:textId="77777777" w:rsidR="009B7B2A" w:rsidRDefault="009B7B2A" w:rsidP="009B7B2A">
            <w:pPr>
              <w:overflowPunct w:val="0"/>
              <w:autoSpaceDE w:val="0"/>
              <w:autoSpaceDN w:val="0"/>
              <w:adjustRightInd w:val="0"/>
              <w:ind w:right="-612"/>
              <w:jc w:val="both"/>
              <w:rPr>
                <w:sz w:val="20"/>
                <w:szCs w:val="24"/>
                <w:lang w:eastAsia="en-US"/>
              </w:rPr>
            </w:pPr>
            <w:r w:rsidRPr="00C962E9">
              <w:rPr>
                <w:i/>
                <w:sz w:val="20"/>
              </w:rPr>
              <w:t>k</w:t>
            </w:r>
            <w:r>
              <w:rPr>
                <w:sz w:val="20"/>
                <w:vertAlign w:val="subscript"/>
              </w:rPr>
              <w:t>2a</w:t>
            </w:r>
            <w:r>
              <w:rPr>
                <w:sz w:val="20"/>
              </w:rPr>
              <w:t>/</w:t>
            </w:r>
            <w:r w:rsidRPr="009E16CC">
              <w:rPr>
                <w:i/>
                <w:sz w:val="20"/>
              </w:rPr>
              <w:t>k</w:t>
            </w:r>
            <w:r>
              <w:rPr>
                <w:sz w:val="20"/>
                <w:vertAlign w:val="subscript"/>
              </w:rPr>
              <w:t>2</w:t>
            </w:r>
            <w:r>
              <w:rPr>
                <w:sz w:val="20"/>
              </w:rPr>
              <w:t xml:space="preserve"> = 0.40</w:t>
            </w:r>
            <w:r>
              <w:rPr>
                <w:sz w:val="20"/>
                <w:vertAlign w:val="superscript"/>
              </w:rPr>
              <w:t xml:space="preserve">  </w:t>
            </w:r>
          </w:p>
        </w:tc>
        <w:tc>
          <w:tcPr>
            <w:tcW w:w="992" w:type="dxa"/>
            <w:shd w:val="clear" w:color="auto" w:fill="auto"/>
          </w:tcPr>
          <w:p w14:paraId="5114814B" w14:textId="77777777" w:rsidR="009B7B2A" w:rsidRDefault="009B7B2A" w:rsidP="009B7B2A">
            <w:pPr>
              <w:overflowPunct w:val="0"/>
              <w:autoSpaceDE w:val="0"/>
              <w:autoSpaceDN w:val="0"/>
              <w:adjustRightInd w:val="0"/>
              <w:ind w:right="-612"/>
              <w:rPr>
                <w:iCs/>
                <w:sz w:val="20"/>
                <w:szCs w:val="24"/>
                <w:lang w:eastAsia="en-US"/>
              </w:rPr>
            </w:pPr>
            <w:r>
              <w:rPr>
                <w:iCs/>
                <w:sz w:val="20"/>
              </w:rPr>
              <w:t>295</w:t>
            </w:r>
          </w:p>
        </w:tc>
        <w:tc>
          <w:tcPr>
            <w:tcW w:w="2268" w:type="dxa"/>
            <w:gridSpan w:val="2"/>
            <w:shd w:val="clear" w:color="auto" w:fill="auto"/>
          </w:tcPr>
          <w:p w14:paraId="1AB0FECD" w14:textId="77777777" w:rsidR="009B7B2A" w:rsidRDefault="009B7B2A" w:rsidP="009B7B2A">
            <w:pPr>
              <w:overflowPunct w:val="0"/>
              <w:autoSpaceDE w:val="0"/>
              <w:autoSpaceDN w:val="0"/>
              <w:adjustRightInd w:val="0"/>
              <w:ind w:right="-612"/>
              <w:rPr>
                <w:sz w:val="20"/>
                <w:szCs w:val="24"/>
                <w:lang w:eastAsia="en-US"/>
              </w:rPr>
            </w:pPr>
          </w:p>
        </w:tc>
        <w:tc>
          <w:tcPr>
            <w:tcW w:w="2410" w:type="dxa"/>
            <w:gridSpan w:val="3"/>
            <w:shd w:val="clear" w:color="auto" w:fill="auto"/>
          </w:tcPr>
          <w:p w14:paraId="132BCF2C" w14:textId="77777777" w:rsidR="009B7B2A" w:rsidRPr="002C4DE8" w:rsidRDefault="009B7B2A" w:rsidP="009B7B2A">
            <w:pPr>
              <w:ind w:right="-612"/>
              <w:jc w:val="both"/>
              <w:rPr>
                <w:color w:val="auto"/>
                <w:sz w:val="20"/>
                <w:szCs w:val="24"/>
                <w:lang w:eastAsia="en-US"/>
              </w:rPr>
            </w:pPr>
          </w:p>
        </w:tc>
      </w:tr>
      <w:tr w:rsidR="009B7B2A" w:rsidRPr="001D3940" w14:paraId="248B7529" w14:textId="77777777" w:rsidTr="009E16CC">
        <w:tc>
          <w:tcPr>
            <w:tcW w:w="3216" w:type="dxa"/>
            <w:shd w:val="clear" w:color="auto" w:fill="auto"/>
          </w:tcPr>
          <w:p w14:paraId="2815FD07" w14:textId="77777777" w:rsidR="009B7B2A" w:rsidRDefault="009B7B2A" w:rsidP="009B7B2A">
            <w:pPr>
              <w:overflowPunct w:val="0"/>
              <w:autoSpaceDE w:val="0"/>
              <w:autoSpaceDN w:val="0"/>
              <w:adjustRightInd w:val="0"/>
              <w:ind w:right="-612"/>
              <w:jc w:val="both"/>
              <w:rPr>
                <w:sz w:val="20"/>
                <w:szCs w:val="24"/>
                <w:lang w:eastAsia="en-US"/>
              </w:rPr>
            </w:pPr>
            <w:r w:rsidRPr="00C962E9">
              <w:rPr>
                <w:i/>
                <w:sz w:val="20"/>
              </w:rPr>
              <w:t>k</w:t>
            </w:r>
            <w:r>
              <w:rPr>
                <w:sz w:val="20"/>
                <w:vertAlign w:val="subscript"/>
              </w:rPr>
              <w:t>2b</w:t>
            </w:r>
            <w:r>
              <w:rPr>
                <w:sz w:val="20"/>
              </w:rPr>
              <w:t>/</w:t>
            </w:r>
            <w:r w:rsidRPr="009E16CC">
              <w:rPr>
                <w:i/>
                <w:sz w:val="20"/>
              </w:rPr>
              <w:t>k</w:t>
            </w:r>
            <w:r>
              <w:rPr>
                <w:sz w:val="20"/>
                <w:vertAlign w:val="subscript"/>
              </w:rPr>
              <w:t>2</w:t>
            </w:r>
            <w:r>
              <w:rPr>
                <w:sz w:val="20"/>
              </w:rPr>
              <w:t xml:space="preserve"> = 0.06</w:t>
            </w:r>
            <w:r>
              <w:rPr>
                <w:sz w:val="20"/>
                <w:vertAlign w:val="superscript"/>
              </w:rPr>
              <w:t xml:space="preserve">  </w:t>
            </w:r>
          </w:p>
        </w:tc>
        <w:tc>
          <w:tcPr>
            <w:tcW w:w="992" w:type="dxa"/>
            <w:shd w:val="clear" w:color="auto" w:fill="auto"/>
          </w:tcPr>
          <w:p w14:paraId="6E98BC6C" w14:textId="77777777" w:rsidR="009B7B2A" w:rsidRDefault="009B7B2A" w:rsidP="009B7B2A">
            <w:pPr>
              <w:overflowPunct w:val="0"/>
              <w:autoSpaceDE w:val="0"/>
              <w:autoSpaceDN w:val="0"/>
              <w:adjustRightInd w:val="0"/>
              <w:ind w:right="-612"/>
              <w:rPr>
                <w:iCs/>
                <w:sz w:val="20"/>
                <w:szCs w:val="24"/>
                <w:lang w:eastAsia="en-US"/>
              </w:rPr>
            </w:pPr>
            <w:r>
              <w:rPr>
                <w:iCs/>
                <w:sz w:val="20"/>
              </w:rPr>
              <w:t>295</w:t>
            </w:r>
          </w:p>
        </w:tc>
        <w:tc>
          <w:tcPr>
            <w:tcW w:w="2268" w:type="dxa"/>
            <w:gridSpan w:val="2"/>
            <w:shd w:val="clear" w:color="auto" w:fill="auto"/>
          </w:tcPr>
          <w:p w14:paraId="748174FD" w14:textId="77777777" w:rsidR="009B7B2A" w:rsidRDefault="009B7B2A" w:rsidP="009B7B2A">
            <w:pPr>
              <w:overflowPunct w:val="0"/>
              <w:autoSpaceDE w:val="0"/>
              <w:autoSpaceDN w:val="0"/>
              <w:adjustRightInd w:val="0"/>
              <w:ind w:right="-612"/>
              <w:rPr>
                <w:sz w:val="20"/>
                <w:szCs w:val="24"/>
                <w:lang w:eastAsia="en-US"/>
              </w:rPr>
            </w:pPr>
          </w:p>
        </w:tc>
        <w:tc>
          <w:tcPr>
            <w:tcW w:w="2410" w:type="dxa"/>
            <w:gridSpan w:val="3"/>
            <w:shd w:val="clear" w:color="auto" w:fill="auto"/>
          </w:tcPr>
          <w:p w14:paraId="2572148F" w14:textId="77777777" w:rsidR="009B7B2A" w:rsidRPr="002C4DE8" w:rsidRDefault="009B7B2A" w:rsidP="009B7B2A">
            <w:pPr>
              <w:ind w:right="-612"/>
              <w:jc w:val="both"/>
              <w:rPr>
                <w:color w:val="auto"/>
                <w:sz w:val="20"/>
                <w:szCs w:val="24"/>
                <w:lang w:eastAsia="en-US"/>
              </w:rPr>
            </w:pPr>
          </w:p>
        </w:tc>
      </w:tr>
      <w:tr w:rsidR="009B7B2A" w:rsidRPr="001D3940" w14:paraId="11DDC945" w14:textId="77777777" w:rsidTr="003C4E5D">
        <w:tc>
          <w:tcPr>
            <w:tcW w:w="3216" w:type="dxa"/>
            <w:shd w:val="clear" w:color="auto" w:fill="auto"/>
          </w:tcPr>
          <w:p w14:paraId="151A7D1D" w14:textId="77777777" w:rsidR="009B7B2A" w:rsidRDefault="009B7B2A" w:rsidP="003C4E5D">
            <w:pPr>
              <w:overflowPunct w:val="0"/>
              <w:autoSpaceDE w:val="0"/>
              <w:autoSpaceDN w:val="0"/>
              <w:adjustRightInd w:val="0"/>
              <w:ind w:right="-612"/>
              <w:jc w:val="both"/>
              <w:rPr>
                <w:sz w:val="20"/>
                <w:szCs w:val="24"/>
                <w:lang w:eastAsia="en-US"/>
              </w:rPr>
            </w:pPr>
            <w:r w:rsidRPr="00C962E9">
              <w:rPr>
                <w:i/>
                <w:sz w:val="20"/>
              </w:rPr>
              <w:t>k</w:t>
            </w:r>
            <w:r>
              <w:rPr>
                <w:sz w:val="20"/>
                <w:vertAlign w:val="subscript"/>
              </w:rPr>
              <w:t>2c</w:t>
            </w:r>
            <w:r>
              <w:rPr>
                <w:sz w:val="20"/>
              </w:rPr>
              <w:t>/</w:t>
            </w:r>
            <w:r w:rsidRPr="009E16CC">
              <w:rPr>
                <w:i/>
                <w:sz w:val="20"/>
              </w:rPr>
              <w:t>k</w:t>
            </w:r>
            <w:r>
              <w:rPr>
                <w:sz w:val="20"/>
                <w:vertAlign w:val="subscript"/>
              </w:rPr>
              <w:t>2</w:t>
            </w:r>
            <w:r>
              <w:rPr>
                <w:sz w:val="20"/>
              </w:rPr>
              <w:t xml:space="preserve"> = 0.54</w:t>
            </w:r>
            <w:r>
              <w:rPr>
                <w:sz w:val="20"/>
                <w:vertAlign w:val="superscript"/>
              </w:rPr>
              <w:t xml:space="preserve">  </w:t>
            </w:r>
          </w:p>
        </w:tc>
        <w:tc>
          <w:tcPr>
            <w:tcW w:w="992" w:type="dxa"/>
            <w:shd w:val="clear" w:color="auto" w:fill="auto"/>
          </w:tcPr>
          <w:p w14:paraId="343E857F" w14:textId="77777777" w:rsidR="009B7B2A" w:rsidRDefault="009B7B2A" w:rsidP="003C4E5D">
            <w:pPr>
              <w:overflowPunct w:val="0"/>
              <w:autoSpaceDE w:val="0"/>
              <w:autoSpaceDN w:val="0"/>
              <w:adjustRightInd w:val="0"/>
              <w:ind w:right="-612"/>
              <w:rPr>
                <w:iCs/>
                <w:sz w:val="20"/>
                <w:szCs w:val="24"/>
                <w:lang w:eastAsia="en-US"/>
              </w:rPr>
            </w:pPr>
            <w:r>
              <w:rPr>
                <w:iCs/>
                <w:sz w:val="20"/>
              </w:rPr>
              <w:t>295</w:t>
            </w:r>
          </w:p>
        </w:tc>
        <w:tc>
          <w:tcPr>
            <w:tcW w:w="2268" w:type="dxa"/>
            <w:gridSpan w:val="2"/>
            <w:shd w:val="clear" w:color="auto" w:fill="auto"/>
          </w:tcPr>
          <w:p w14:paraId="5D94294F" w14:textId="77777777" w:rsidR="009B7B2A" w:rsidRDefault="009B7B2A" w:rsidP="003C4E5D">
            <w:pPr>
              <w:overflowPunct w:val="0"/>
              <w:autoSpaceDE w:val="0"/>
              <w:autoSpaceDN w:val="0"/>
              <w:adjustRightInd w:val="0"/>
              <w:ind w:right="-612"/>
              <w:rPr>
                <w:sz w:val="20"/>
                <w:szCs w:val="24"/>
                <w:lang w:eastAsia="en-US"/>
              </w:rPr>
            </w:pPr>
          </w:p>
        </w:tc>
        <w:tc>
          <w:tcPr>
            <w:tcW w:w="2410" w:type="dxa"/>
            <w:gridSpan w:val="3"/>
            <w:shd w:val="clear" w:color="auto" w:fill="auto"/>
          </w:tcPr>
          <w:p w14:paraId="1801A32E" w14:textId="77777777" w:rsidR="009B7B2A" w:rsidRPr="002C4DE8" w:rsidRDefault="009B7B2A" w:rsidP="003C4E5D">
            <w:pPr>
              <w:ind w:right="-612"/>
              <w:jc w:val="both"/>
              <w:rPr>
                <w:color w:val="auto"/>
                <w:sz w:val="20"/>
                <w:szCs w:val="24"/>
                <w:lang w:eastAsia="en-US"/>
              </w:rPr>
            </w:pPr>
          </w:p>
        </w:tc>
      </w:tr>
      <w:tr w:rsidR="003C4E5D" w:rsidRPr="001D3940" w14:paraId="76ED5ED5" w14:textId="77777777" w:rsidTr="003C4E5D">
        <w:tc>
          <w:tcPr>
            <w:tcW w:w="3216" w:type="dxa"/>
            <w:shd w:val="clear" w:color="auto" w:fill="auto"/>
          </w:tcPr>
          <w:p w14:paraId="047F2054" w14:textId="77777777" w:rsidR="003C4E5D" w:rsidRPr="00C962E9" w:rsidRDefault="003C4E5D" w:rsidP="003C4E5D">
            <w:pPr>
              <w:overflowPunct w:val="0"/>
              <w:autoSpaceDE w:val="0"/>
              <w:autoSpaceDN w:val="0"/>
              <w:adjustRightInd w:val="0"/>
              <w:ind w:right="-612"/>
              <w:jc w:val="both"/>
              <w:rPr>
                <w:i/>
                <w:sz w:val="20"/>
              </w:rPr>
            </w:pPr>
            <w:r w:rsidRPr="00C962E9">
              <w:rPr>
                <w:i/>
                <w:sz w:val="20"/>
              </w:rPr>
              <w:t>k</w:t>
            </w:r>
            <w:r>
              <w:rPr>
                <w:sz w:val="20"/>
                <w:vertAlign w:val="subscript"/>
              </w:rPr>
              <w:t>2a</w:t>
            </w:r>
            <w:r>
              <w:rPr>
                <w:sz w:val="20"/>
              </w:rPr>
              <w:t>/</w:t>
            </w:r>
            <w:r w:rsidRPr="009E16CC">
              <w:rPr>
                <w:i/>
                <w:sz w:val="20"/>
              </w:rPr>
              <w:t>k</w:t>
            </w:r>
            <w:r>
              <w:rPr>
                <w:sz w:val="20"/>
                <w:vertAlign w:val="subscript"/>
              </w:rPr>
              <w:t>2</w:t>
            </w:r>
            <w:r>
              <w:rPr>
                <w:sz w:val="20"/>
              </w:rPr>
              <w:t xml:space="preserve"> = 0.55 ± 0.15</w:t>
            </w:r>
            <w:r>
              <w:rPr>
                <w:sz w:val="20"/>
                <w:vertAlign w:val="superscript"/>
              </w:rPr>
              <w:t xml:space="preserve">  </w:t>
            </w:r>
          </w:p>
        </w:tc>
        <w:tc>
          <w:tcPr>
            <w:tcW w:w="992" w:type="dxa"/>
            <w:shd w:val="clear" w:color="auto" w:fill="auto"/>
          </w:tcPr>
          <w:p w14:paraId="1C07FC34" w14:textId="77777777" w:rsidR="003C4E5D" w:rsidRDefault="003C4E5D" w:rsidP="003C4E5D">
            <w:pPr>
              <w:overflowPunct w:val="0"/>
              <w:autoSpaceDE w:val="0"/>
              <w:autoSpaceDN w:val="0"/>
              <w:adjustRightInd w:val="0"/>
              <w:ind w:right="-612"/>
              <w:rPr>
                <w:iCs/>
                <w:sz w:val="20"/>
              </w:rPr>
            </w:pPr>
            <w:r>
              <w:rPr>
                <w:iCs/>
                <w:sz w:val="20"/>
              </w:rPr>
              <w:t>293</w:t>
            </w:r>
          </w:p>
        </w:tc>
        <w:tc>
          <w:tcPr>
            <w:tcW w:w="2268" w:type="dxa"/>
            <w:gridSpan w:val="2"/>
            <w:shd w:val="clear" w:color="auto" w:fill="auto"/>
          </w:tcPr>
          <w:p w14:paraId="79630784" w14:textId="77777777" w:rsidR="003C4E5D" w:rsidRDefault="003C4E5D" w:rsidP="003C4E5D">
            <w:pPr>
              <w:overflowPunct w:val="0"/>
              <w:autoSpaceDE w:val="0"/>
              <w:autoSpaceDN w:val="0"/>
              <w:adjustRightInd w:val="0"/>
              <w:ind w:right="-612"/>
              <w:rPr>
                <w:sz w:val="20"/>
                <w:szCs w:val="24"/>
                <w:lang w:eastAsia="en-US"/>
              </w:rPr>
            </w:pPr>
            <w:proofErr w:type="spellStart"/>
            <w:r>
              <w:rPr>
                <w:color w:val="auto"/>
                <w:sz w:val="20"/>
              </w:rPr>
              <w:t>Sheps</w:t>
            </w:r>
            <w:proofErr w:type="spellEnd"/>
            <w:r>
              <w:rPr>
                <w:color w:val="auto"/>
                <w:sz w:val="20"/>
              </w:rPr>
              <w:t xml:space="preserve"> et al., 2017</w:t>
            </w:r>
          </w:p>
        </w:tc>
        <w:tc>
          <w:tcPr>
            <w:tcW w:w="2410" w:type="dxa"/>
            <w:gridSpan w:val="3"/>
            <w:shd w:val="clear" w:color="auto" w:fill="auto"/>
          </w:tcPr>
          <w:p w14:paraId="67244EBC" w14:textId="77777777" w:rsidR="003C4E5D" w:rsidRPr="002C4DE8" w:rsidRDefault="003C4E5D" w:rsidP="003C4E5D">
            <w:pPr>
              <w:ind w:right="-612"/>
              <w:jc w:val="both"/>
              <w:rPr>
                <w:color w:val="auto"/>
                <w:sz w:val="20"/>
                <w:szCs w:val="24"/>
                <w:lang w:eastAsia="en-US"/>
              </w:rPr>
            </w:pPr>
            <w:r>
              <w:rPr>
                <w:color w:val="auto"/>
                <w:sz w:val="20"/>
              </w:rPr>
              <w:t>TR-BB-CEAS/PIMS (g)</w:t>
            </w:r>
          </w:p>
        </w:tc>
      </w:tr>
      <w:tr w:rsidR="003C4E5D" w:rsidRPr="001D3940" w14:paraId="7E87FE71" w14:textId="77777777" w:rsidTr="003C4E5D">
        <w:tc>
          <w:tcPr>
            <w:tcW w:w="3216" w:type="dxa"/>
            <w:shd w:val="clear" w:color="auto" w:fill="auto"/>
          </w:tcPr>
          <w:p w14:paraId="0B5BF7BC" w14:textId="77777777" w:rsidR="003C4E5D" w:rsidRPr="00C962E9" w:rsidRDefault="003C4E5D" w:rsidP="003C4E5D">
            <w:pPr>
              <w:overflowPunct w:val="0"/>
              <w:autoSpaceDE w:val="0"/>
              <w:autoSpaceDN w:val="0"/>
              <w:adjustRightInd w:val="0"/>
              <w:ind w:right="-612"/>
              <w:jc w:val="both"/>
              <w:rPr>
                <w:i/>
                <w:sz w:val="20"/>
              </w:rPr>
            </w:pPr>
            <w:r w:rsidRPr="00C962E9">
              <w:rPr>
                <w:i/>
                <w:sz w:val="20"/>
              </w:rPr>
              <w:t>k</w:t>
            </w:r>
            <w:r>
              <w:rPr>
                <w:sz w:val="20"/>
                <w:vertAlign w:val="subscript"/>
              </w:rPr>
              <w:t>2b</w:t>
            </w:r>
            <w:r>
              <w:rPr>
                <w:sz w:val="20"/>
              </w:rPr>
              <w:t>/</w:t>
            </w:r>
            <w:r w:rsidRPr="009E16CC">
              <w:rPr>
                <w:i/>
                <w:sz w:val="20"/>
              </w:rPr>
              <w:t>k</w:t>
            </w:r>
            <w:r>
              <w:rPr>
                <w:sz w:val="20"/>
                <w:vertAlign w:val="subscript"/>
              </w:rPr>
              <w:t>2</w:t>
            </w:r>
            <w:r>
              <w:rPr>
                <w:sz w:val="20"/>
              </w:rPr>
              <w:t xml:space="preserve"> = 0.40</w:t>
            </w:r>
            <w:r w:rsidRPr="003C4E5D">
              <w:rPr>
                <w:sz w:val="20"/>
              </w:rPr>
              <w:t xml:space="preserve"> </w:t>
            </w:r>
            <w:r>
              <w:rPr>
                <w:sz w:val="20"/>
              </w:rPr>
              <w:t>± 0.10</w:t>
            </w:r>
          </w:p>
        </w:tc>
        <w:tc>
          <w:tcPr>
            <w:tcW w:w="992" w:type="dxa"/>
            <w:shd w:val="clear" w:color="auto" w:fill="auto"/>
          </w:tcPr>
          <w:p w14:paraId="623B9F91" w14:textId="77777777" w:rsidR="003C4E5D" w:rsidRDefault="003C4E5D" w:rsidP="003C4E5D">
            <w:pPr>
              <w:overflowPunct w:val="0"/>
              <w:autoSpaceDE w:val="0"/>
              <w:autoSpaceDN w:val="0"/>
              <w:adjustRightInd w:val="0"/>
              <w:ind w:right="-612"/>
              <w:rPr>
                <w:iCs/>
                <w:sz w:val="20"/>
              </w:rPr>
            </w:pPr>
            <w:r>
              <w:rPr>
                <w:iCs/>
                <w:sz w:val="20"/>
              </w:rPr>
              <w:t>293</w:t>
            </w:r>
          </w:p>
        </w:tc>
        <w:tc>
          <w:tcPr>
            <w:tcW w:w="2268" w:type="dxa"/>
            <w:gridSpan w:val="2"/>
            <w:shd w:val="clear" w:color="auto" w:fill="auto"/>
          </w:tcPr>
          <w:p w14:paraId="24656754" w14:textId="77777777" w:rsidR="003C4E5D" w:rsidRDefault="003C4E5D" w:rsidP="003C4E5D">
            <w:pPr>
              <w:overflowPunct w:val="0"/>
              <w:autoSpaceDE w:val="0"/>
              <w:autoSpaceDN w:val="0"/>
              <w:adjustRightInd w:val="0"/>
              <w:ind w:right="-612"/>
              <w:rPr>
                <w:sz w:val="20"/>
                <w:szCs w:val="24"/>
                <w:lang w:eastAsia="en-US"/>
              </w:rPr>
            </w:pPr>
          </w:p>
        </w:tc>
        <w:tc>
          <w:tcPr>
            <w:tcW w:w="2410" w:type="dxa"/>
            <w:gridSpan w:val="3"/>
            <w:shd w:val="clear" w:color="auto" w:fill="auto"/>
          </w:tcPr>
          <w:p w14:paraId="6139B956" w14:textId="77777777" w:rsidR="003C4E5D" w:rsidRPr="002C4DE8" w:rsidRDefault="003C4E5D" w:rsidP="003C4E5D">
            <w:pPr>
              <w:ind w:right="-612"/>
              <w:jc w:val="both"/>
              <w:rPr>
                <w:color w:val="auto"/>
                <w:sz w:val="20"/>
                <w:szCs w:val="24"/>
                <w:lang w:eastAsia="en-US"/>
              </w:rPr>
            </w:pPr>
          </w:p>
        </w:tc>
      </w:tr>
      <w:tr w:rsidR="003C4E5D" w:rsidRPr="001D3940" w14:paraId="6379EE36" w14:textId="77777777" w:rsidTr="00E8367B">
        <w:tc>
          <w:tcPr>
            <w:tcW w:w="3216" w:type="dxa"/>
            <w:tcBorders>
              <w:bottom w:val="single" w:sz="4" w:space="0" w:color="auto"/>
            </w:tcBorders>
            <w:shd w:val="clear" w:color="auto" w:fill="auto"/>
          </w:tcPr>
          <w:p w14:paraId="42392BF6" w14:textId="77777777" w:rsidR="003C4E5D" w:rsidRPr="00C962E9" w:rsidRDefault="003C4E5D" w:rsidP="003C4E5D">
            <w:pPr>
              <w:overflowPunct w:val="0"/>
              <w:autoSpaceDE w:val="0"/>
              <w:autoSpaceDN w:val="0"/>
              <w:adjustRightInd w:val="0"/>
              <w:spacing w:after="120"/>
              <w:ind w:right="-612"/>
              <w:jc w:val="both"/>
              <w:rPr>
                <w:i/>
                <w:sz w:val="20"/>
              </w:rPr>
            </w:pPr>
            <w:r w:rsidRPr="00C962E9">
              <w:rPr>
                <w:i/>
                <w:sz w:val="20"/>
              </w:rPr>
              <w:t>k</w:t>
            </w:r>
            <w:r>
              <w:rPr>
                <w:sz w:val="20"/>
                <w:vertAlign w:val="subscript"/>
              </w:rPr>
              <w:t>2c</w:t>
            </w:r>
            <w:r>
              <w:rPr>
                <w:sz w:val="20"/>
              </w:rPr>
              <w:t>/</w:t>
            </w:r>
            <w:r w:rsidRPr="009E16CC">
              <w:rPr>
                <w:i/>
                <w:sz w:val="20"/>
              </w:rPr>
              <w:t>k</w:t>
            </w:r>
            <w:r>
              <w:rPr>
                <w:sz w:val="20"/>
                <w:vertAlign w:val="subscript"/>
              </w:rPr>
              <w:t>2</w:t>
            </w:r>
            <w:r>
              <w:rPr>
                <w:sz w:val="20"/>
              </w:rPr>
              <w:t xml:space="preserve"> = </w:t>
            </w:r>
            <w:r w:rsidRPr="006210EF">
              <w:rPr>
                <w:color w:val="auto"/>
                <w:sz w:val="20"/>
              </w:rPr>
              <w:t>&lt;</w:t>
            </w:r>
            <w:r>
              <w:rPr>
                <w:sz w:val="20"/>
              </w:rPr>
              <w:t xml:space="preserve"> 0.10</w:t>
            </w:r>
            <w:r>
              <w:rPr>
                <w:sz w:val="20"/>
                <w:vertAlign w:val="superscript"/>
              </w:rPr>
              <w:t xml:space="preserve">  </w:t>
            </w:r>
          </w:p>
        </w:tc>
        <w:tc>
          <w:tcPr>
            <w:tcW w:w="992" w:type="dxa"/>
            <w:tcBorders>
              <w:bottom w:val="single" w:sz="4" w:space="0" w:color="auto"/>
            </w:tcBorders>
            <w:shd w:val="clear" w:color="auto" w:fill="auto"/>
          </w:tcPr>
          <w:p w14:paraId="26586066" w14:textId="77777777" w:rsidR="003C4E5D" w:rsidRDefault="003C4E5D" w:rsidP="003C4E5D">
            <w:pPr>
              <w:overflowPunct w:val="0"/>
              <w:autoSpaceDE w:val="0"/>
              <w:autoSpaceDN w:val="0"/>
              <w:adjustRightInd w:val="0"/>
              <w:spacing w:after="120"/>
              <w:ind w:right="-612"/>
              <w:rPr>
                <w:iCs/>
                <w:sz w:val="20"/>
              </w:rPr>
            </w:pPr>
            <w:r>
              <w:rPr>
                <w:iCs/>
                <w:sz w:val="20"/>
              </w:rPr>
              <w:t>293</w:t>
            </w:r>
          </w:p>
        </w:tc>
        <w:tc>
          <w:tcPr>
            <w:tcW w:w="2268" w:type="dxa"/>
            <w:gridSpan w:val="2"/>
            <w:tcBorders>
              <w:bottom w:val="single" w:sz="4" w:space="0" w:color="auto"/>
            </w:tcBorders>
            <w:shd w:val="clear" w:color="auto" w:fill="auto"/>
          </w:tcPr>
          <w:p w14:paraId="2776EF57" w14:textId="77777777" w:rsidR="003C4E5D" w:rsidRDefault="003C4E5D" w:rsidP="003C4E5D">
            <w:pPr>
              <w:overflowPunct w:val="0"/>
              <w:autoSpaceDE w:val="0"/>
              <w:autoSpaceDN w:val="0"/>
              <w:adjustRightInd w:val="0"/>
              <w:spacing w:after="120"/>
              <w:ind w:right="-612"/>
              <w:rPr>
                <w:sz w:val="20"/>
                <w:szCs w:val="24"/>
                <w:lang w:eastAsia="en-US"/>
              </w:rPr>
            </w:pPr>
          </w:p>
        </w:tc>
        <w:tc>
          <w:tcPr>
            <w:tcW w:w="2410" w:type="dxa"/>
            <w:gridSpan w:val="3"/>
            <w:tcBorders>
              <w:bottom w:val="single" w:sz="4" w:space="0" w:color="auto"/>
            </w:tcBorders>
            <w:shd w:val="clear" w:color="auto" w:fill="auto"/>
          </w:tcPr>
          <w:p w14:paraId="18C89E9F" w14:textId="77777777" w:rsidR="003C4E5D" w:rsidRPr="002C4DE8" w:rsidRDefault="003C4E5D" w:rsidP="003C4E5D">
            <w:pPr>
              <w:spacing w:after="120"/>
              <w:ind w:right="-612"/>
              <w:jc w:val="both"/>
              <w:rPr>
                <w:color w:val="auto"/>
                <w:sz w:val="20"/>
                <w:szCs w:val="24"/>
                <w:lang w:eastAsia="en-US"/>
              </w:rPr>
            </w:pPr>
          </w:p>
        </w:tc>
      </w:tr>
    </w:tbl>
    <w:p w14:paraId="57B46D26" w14:textId="77777777" w:rsidR="00F340B1" w:rsidRPr="001D3940" w:rsidRDefault="00F340B1" w:rsidP="00F340B1">
      <w:pPr>
        <w:tabs>
          <w:tab w:val="center" w:pos="4680"/>
        </w:tabs>
        <w:jc w:val="both"/>
        <w:rPr>
          <w:color w:val="auto"/>
        </w:rPr>
      </w:pPr>
    </w:p>
    <w:p w14:paraId="3FCC3B59" w14:textId="77777777" w:rsidR="00A411B5" w:rsidRDefault="00A411B5" w:rsidP="00E8367B">
      <w:pPr>
        <w:jc w:val="center"/>
        <w:rPr>
          <w:b/>
        </w:rPr>
      </w:pPr>
    </w:p>
    <w:p w14:paraId="190D986E" w14:textId="77777777" w:rsidR="00A411B5" w:rsidRDefault="00A411B5" w:rsidP="00E8367B">
      <w:pPr>
        <w:jc w:val="center"/>
        <w:rPr>
          <w:b/>
        </w:rPr>
      </w:pPr>
    </w:p>
    <w:p w14:paraId="399D784C" w14:textId="77777777" w:rsidR="00A411B5" w:rsidRDefault="00A411B5" w:rsidP="00E8367B">
      <w:pPr>
        <w:jc w:val="center"/>
        <w:rPr>
          <w:b/>
        </w:rPr>
      </w:pPr>
    </w:p>
    <w:p w14:paraId="691CC842" w14:textId="77777777" w:rsidR="00A411B5" w:rsidRDefault="00A411B5" w:rsidP="00E8367B">
      <w:pPr>
        <w:jc w:val="center"/>
        <w:rPr>
          <w:b/>
        </w:rPr>
      </w:pPr>
    </w:p>
    <w:p w14:paraId="103B8537" w14:textId="77777777" w:rsidR="00F340B1" w:rsidRPr="00E8367B" w:rsidRDefault="00F340B1" w:rsidP="00E8367B">
      <w:pPr>
        <w:jc w:val="center"/>
        <w:rPr>
          <w:b/>
        </w:rPr>
      </w:pPr>
      <w:r w:rsidRPr="00E8367B">
        <w:rPr>
          <w:b/>
        </w:rPr>
        <w:lastRenderedPageBreak/>
        <w:t>Comments</w:t>
      </w:r>
    </w:p>
    <w:p w14:paraId="56723E69" w14:textId="77777777" w:rsidR="00F340B1" w:rsidRPr="001D3940" w:rsidRDefault="00F340B1" w:rsidP="00F340B1">
      <w:pPr>
        <w:tabs>
          <w:tab w:val="left" w:pos="-1440"/>
          <w:tab w:val="left" w:pos="-720"/>
          <w:tab w:val="left" w:pos="444"/>
        </w:tabs>
        <w:jc w:val="both"/>
        <w:rPr>
          <w:color w:val="auto"/>
        </w:rPr>
      </w:pPr>
    </w:p>
    <w:p w14:paraId="77D11B28" w14:textId="6D347057" w:rsidR="00ED24D0" w:rsidRPr="001D3940" w:rsidRDefault="00E8367B" w:rsidP="00ED24D0">
      <w:pPr>
        <w:numPr>
          <w:ilvl w:val="0"/>
          <w:numId w:val="3"/>
        </w:numPr>
        <w:tabs>
          <w:tab w:val="left" w:pos="-1440"/>
          <w:tab w:val="left" w:pos="-720"/>
          <w:tab w:val="left" w:pos="426"/>
        </w:tabs>
        <w:jc w:val="both"/>
        <w:rPr>
          <w:color w:val="auto"/>
          <w:spacing w:val="-3"/>
        </w:rPr>
      </w:pPr>
      <w:r>
        <w:t>CH</w:t>
      </w:r>
      <w:r>
        <w:rPr>
          <w:vertAlign w:val="subscript"/>
        </w:rPr>
        <w:t>2</w:t>
      </w:r>
      <w:r>
        <w:t>OO was produced by the reaction of CH</w:t>
      </w:r>
      <w:r>
        <w:rPr>
          <w:vertAlign w:val="subscript"/>
        </w:rPr>
        <w:t>2</w:t>
      </w:r>
      <w:r>
        <w:t>I + O</w:t>
      </w:r>
      <w:r>
        <w:rPr>
          <w:vertAlign w:val="subscript"/>
        </w:rPr>
        <w:t>2</w:t>
      </w:r>
      <w:r>
        <w:t>. CH</w:t>
      </w:r>
      <w:r>
        <w:rPr>
          <w:vertAlign w:val="subscript"/>
        </w:rPr>
        <w:t>2</w:t>
      </w:r>
      <w:r>
        <w:t>I was generated by 248-nm laser photolysis of di-iodomethane, CH</w:t>
      </w:r>
      <w:r>
        <w:rPr>
          <w:vertAlign w:val="subscript"/>
        </w:rPr>
        <w:t>2</w:t>
      </w:r>
      <w:r>
        <w:t>I</w:t>
      </w:r>
      <w:r>
        <w:rPr>
          <w:vertAlign w:val="subscript"/>
        </w:rPr>
        <w:t>2</w:t>
      </w:r>
      <w:r>
        <w:t xml:space="preserve">, at </w:t>
      </w:r>
      <w:r w:rsidR="00DF18E4">
        <w:t>29</w:t>
      </w:r>
      <w:r w:rsidR="00DF18E4">
        <w:t>8</w:t>
      </w:r>
      <w:r w:rsidR="00DF18E4">
        <w:t xml:space="preserve"> </w:t>
      </w:r>
      <w:r>
        <w:t>K and 4 torr, in a large excess of O</w:t>
      </w:r>
      <w:r>
        <w:rPr>
          <w:vertAlign w:val="subscript"/>
        </w:rPr>
        <w:t>2</w:t>
      </w:r>
      <w:r>
        <w:t xml:space="preserve">. The reacting mixture was monitored by tunable synchrotron photoionization mass spectrometry, which allowed </w:t>
      </w:r>
      <w:proofErr w:type="spellStart"/>
      <w:r>
        <w:t>characterisation</w:t>
      </w:r>
      <w:proofErr w:type="spellEnd"/>
      <w:r>
        <w:t xml:space="preserve"> of the PIMS for CH</w:t>
      </w:r>
      <w:r>
        <w:rPr>
          <w:vertAlign w:val="subscript"/>
        </w:rPr>
        <w:t>2</w:t>
      </w:r>
      <w:r>
        <w:t>OO and its reaction products over the region 9.5 – 11.5 eV</w:t>
      </w:r>
      <w:r w:rsidR="00DF18E4">
        <w:t>.</w:t>
      </w:r>
      <w:r>
        <w:t xml:space="preserve"> Time-resolved direct detection of [CH</w:t>
      </w:r>
      <w:r>
        <w:rPr>
          <w:vertAlign w:val="subscript"/>
        </w:rPr>
        <w:t>2</w:t>
      </w:r>
      <w:r>
        <w:t>OO] decay at m/z = 46.  The first order decay</w:t>
      </w:r>
      <w:r w:rsidR="00DF18E4">
        <w:t xml:space="preserve"> of</w:t>
      </w:r>
      <w:r>
        <w:t xml:space="preserve"> CH</w:t>
      </w:r>
      <w:r>
        <w:rPr>
          <w:vertAlign w:val="subscript"/>
        </w:rPr>
        <w:t>2</w:t>
      </w:r>
      <w:r>
        <w:t>OO in the presence of excess known concentrations of H</w:t>
      </w:r>
      <w:r>
        <w:rPr>
          <w:vertAlign w:val="subscript"/>
        </w:rPr>
        <w:t>2</w:t>
      </w:r>
      <w:r>
        <w:t>O was used to determine the rate constants, at a total pressure of 4.5 Torr. The upper limit determined on the basis of absence of any effect of [H</w:t>
      </w:r>
      <w:r>
        <w:rPr>
          <w:vertAlign w:val="subscript"/>
        </w:rPr>
        <w:t>2</w:t>
      </w:r>
      <w:r>
        <w:t xml:space="preserve">O] = 3 </w:t>
      </w:r>
      <w:r w:rsidRPr="008F10DE">
        <w:rPr>
          <w:rFonts w:ascii="Symbol" w:hAnsi="Symbol" w:cs="Symbol"/>
          <w:color w:val="auto"/>
        </w:rPr>
        <w:t></w:t>
      </w:r>
      <w:r>
        <w:t xml:space="preserve"> 10</w:t>
      </w:r>
      <w:r>
        <w:rPr>
          <w:vertAlign w:val="superscript"/>
        </w:rPr>
        <w:t xml:space="preserve">16 </w:t>
      </w:r>
      <w:r>
        <w:t>molecule cm</w:t>
      </w:r>
      <w:r>
        <w:rPr>
          <w:rFonts w:ascii="Apple Symbols" w:hAnsi="Apple Symbols"/>
          <w:vertAlign w:val="superscript"/>
        </w:rPr>
        <w:t>-</w:t>
      </w:r>
      <w:r>
        <w:rPr>
          <w:vertAlign w:val="superscript"/>
        </w:rPr>
        <w:t>3</w:t>
      </w:r>
    </w:p>
    <w:p w14:paraId="2C0BC5A5" w14:textId="0FC6AC19" w:rsidR="00ED24D0" w:rsidRPr="002C4DE8" w:rsidRDefault="00E8367B" w:rsidP="00ED24D0">
      <w:pPr>
        <w:numPr>
          <w:ilvl w:val="0"/>
          <w:numId w:val="3"/>
        </w:numPr>
        <w:tabs>
          <w:tab w:val="left" w:pos="-1440"/>
          <w:tab w:val="left" w:pos="-720"/>
        </w:tabs>
        <w:jc w:val="both"/>
        <w:rPr>
          <w:color w:val="auto"/>
        </w:rPr>
      </w:pPr>
      <w:r>
        <w:t>Photolysis of CH</w:t>
      </w:r>
      <w:r>
        <w:rPr>
          <w:vertAlign w:val="subscript"/>
        </w:rPr>
        <w:t>2</w:t>
      </w:r>
      <w:r>
        <w:t>I</w:t>
      </w:r>
      <w:r>
        <w:rPr>
          <w:vertAlign w:val="subscript"/>
        </w:rPr>
        <w:t>2</w:t>
      </w:r>
      <w:r>
        <w:t>-O</w:t>
      </w:r>
      <w:r>
        <w:rPr>
          <w:vertAlign w:val="subscript"/>
        </w:rPr>
        <w:t>2</w:t>
      </w:r>
      <w:r>
        <w:t>-N</w:t>
      </w:r>
      <w:r>
        <w:rPr>
          <w:vertAlign w:val="subscript"/>
        </w:rPr>
        <w:t>2</w:t>
      </w:r>
      <w:r>
        <w:t xml:space="preserve"> mixtures in the presence of excess </w:t>
      </w:r>
      <w:r w:rsidR="00F964CF">
        <w:t>H</w:t>
      </w:r>
      <w:r w:rsidR="00F964CF" w:rsidRPr="00F964CF">
        <w:rPr>
          <w:vertAlign w:val="subscript"/>
        </w:rPr>
        <w:t>2</w:t>
      </w:r>
      <w:r w:rsidR="00F964CF">
        <w:t>O</w:t>
      </w:r>
      <w:r>
        <w:t>, under pseudo-first-order conditions. Kinetics of CH</w:t>
      </w:r>
      <w:r>
        <w:rPr>
          <w:vertAlign w:val="subscript"/>
        </w:rPr>
        <w:t>2</w:t>
      </w:r>
      <w:r>
        <w:t>OO + H</w:t>
      </w:r>
      <w:r>
        <w:rPr>
          <w:vertAlign w:val="subscript"/>
        </w:rPr>
        <w:t>2</w:t>
      </w:r>
      <w:r>
        <w:t>O reaction were followed by time-resolved monitoring of HCHO product by laser-induced fluorescence (LIF) spectroscopy (pressure range: 50 – 450 Torr). Rate coefficients for CH</w:t>
      </w:r>
      <w:r>
        <w:rPr>
          <w:vertAlign w:val="subscript"/>
        </w:rPr>
        <w:t>2</w:t>
      </w:r>
      <w:r>
        <w:t>OO + H</w:t>
      </w:r>
      <w:r>
        <w:rPr>
          <w:vertAlign w:val="subscript"/>
        </w:rPr>
        <w:t>2</w:t>
      </w:r>
      <w:r>
        <w:t>O was investigated at 200 Torr, using up to [H</w:t>
      </w:r>
      <w:r>
        <w:rPr>
          <w:vertAlign w:val="subscript"/>
        </w:rPr>
        <w:t>2</w:t>
      </w:r>
      <w:r>
        <w:t xml:space="preserve">O] = 1.7 </w:t>
      </w:r>
      <w:r w:rsidRPr="008F10DE">
        <w:rPr>
          <w:rFonts w:ascii="Symbol" w:hAnsi="Symbol" w:cs="Symbol"/>
          <w:color w:val="auto"/>
        </w:rPr>
        <w:t></w:t>
      </w:r>
      <w:r>
        <w:t xml:space="preserve"> 10</w:t>
      </w:r>
      <w:r>
        <w:rPr>
          <w:vertAlign w:val="superscript"/>
        </w:rPr>
        <w:t xml:space="preserve">17 </w:t>
      </w:r>
      <w:r>
        <w:t>molecule cm</w:t>
      </w:r>
      <w:r>
        <w:rPr>
          <w:rFonts w:ascii="Apple Symbols" w:hAnsi="Apple Symbols"/>
          <w:vertAlign w:val="superscript"/>
        </w:rPr>
        <w:t>-</w:t>
      </w:r>
      <w:r>
        <w:rPr>
          <w:vertAlign w:val="superscript"/>
        </w:rPr>
        <w:t>3</w:t>
      </w:r>
      <w:r>
        <w:t xml:space="preserve">.  The cited value of </w:t>
      </w:r>
      <w:r>
        <w:rPr>
          <w:i/>
        </w:rPr>
        <w:t>k</w:t>
      </w:r>
      <w:r>
        <w:t xml:space="preserve"> is an upper limit based on the lack of significant effect of [H</w:t>
      </w:r>
      <w:r>
        <w:rPr>
          <w:vertAlign w:val="subscript"/>
        </w:rPr>
        <w:t>2</w:t>
      </w:r>
      <w:r>
        <w:t>O] and the assumption that HCHO detected is derived solely from reaction with H</w:t>
      </w:r>
      <w:r>
        <w:rPr>
          <w:vertAlign w:val="subscript"/>
        </w:rPr>
        <w:t>2</w:t>
      </w:r>
      <w:r>
        <w:t>O.</w:t>
      </w:r>
    </w:p>
    <w:p w14:paraId="5AAA0502" w14:textId="42BA552B" w:rsidR="00FD7BC0" w:rsidRPr="00263004" w:rsidRDefault="00DF18E4" w:rsidP="00ED24D0">
      <w:pPr>
        <w:numPr>
          <w:ilvl w:val="0"/>
          <w:numId w:val="3"/>
        </w:numPr>
        <w:tabs>
          <w:tab w:val="left" w:pos="-1440"/>
          <w:tab w:val="left" w:pos="-720"/>
        </w:tabs>
        <w:jc w:val="both"/>
        <w:rPr>
          <w:color w:val="auto"/>
        </w:rPr>
      </w:pPr>
      <w:r>
        <w:t>T</w:t>
      </w:r>
      <w:r w:rsidR="002C4DE8" w:rsidRPr="004D3466">
        <w:t>he rate coefficients of the bimolecular reaction of CH</w:t>
      </w:r>
      <w:r w:rsidR="002C4DE8" w:rsidRPr="004D3466">
        <w:rPr>
          <w:vertAlign w:val="subscript"/>
        </w:rPr>
        <w:t>2</w:t>
      </w:r>
      <w:r w:rsidR="002C4DE8" w:rsidRPr="004D3466">
        <w:t>OO with the water monomer have been experimentally determined at T = (297</w:t>
      </w:r>
      <w:r w:rsidR="002C4DE8">
        <w:t xml:space="preserve"> </w:t>
      </w:r>
      <w:r w:rsidR="002C4DE8" w:rsidRPr="004D3466">
        <w:t>±</w:t>
      </w:r>
      <w:r w:rsidR="002C4DE8">
        <w:t xml:space="preserve"> </w:t>
      </w:r>
      <w:r w:rsidR="002C4DE8" w:rsidRPr="004D3466">
        <w:t>1) K and at atmospheric pressure by using a free-jet flow system. CH</w:t>
      </w:r>
      <w:r w:rsidR="002C4DE8" w:rsidRPr="004D3466">
        <w:rPr>
          <w:vertAlign w:val="subscript"/>
        </w:rPr>
        <w:t>2</w:t>
      </w:r>
      <w:r w:rsidR="002C4DE8" w:rsidRPr="004D3466">
        <w:t>OO was produced by the reaction of ozone with C</w:t>
      </w:r>
      <w:r w:rsidR="002C4DE8" w:rsidRPr="004D3466">
        <w:rPr>
          <w:vertAlign w:val="subscript"/>
        </w:rPr>
        <w:t>2</w:t>
      </w:r>
      <w:r w:rsidR="002C4DE8" w:rsidRPr="004D3466">
        <w:t>H</w:t>
      </w:r>
      <w:r w:rsidR="002C4DE8" w:rsidRPr="004D3466">
        <w:rPr>
          <w:vertAlign w:val="subscript"/>
        </w:rPr>
        <w:t>4</w:t>
      </w:r>
      <w:r w:rsidR="002C4DE8" w:rsidRPr="004D3466">
        <w:t>, and [CH</w:t>
      </w:r>
      <w:r w:rsidR="002C4DE8" w:rsidRPr="004D3466">
        <w:rPr>
          <w:vertAlign w:val="subscript"/>
        </w:rPr>
        <w:t>2</w:t>
      </w:r>
      <w:r w:rsidR="002C4DE8" w:rsidRPr="004D3466">
        <w:t>OO] was measured indirectly by titrating with excess SO</w:t>
      </w:r>
      <w:r w:rsidR="002C4DE8" w:rsidRPr="004D3466">
        <w:rPr>
          <w:vertAlign w:val="subscript"/>
        </w:rPr>
        <w:t>2</w:t>
      </w:r>
      <w:r w:rsidR="002C4DE8" w:rsidRPr="004D3466">
        <w:t xml:space="preserve"> and detection of product H</w:t>
      </w:r>
      <w:r w:rsidR="002C4DE8" w:rsidRPr="004D3466">
        <w:rPr>
          <w:vertAlign w:val="subscript"/>
        </w:rPr>
        <w:t>2</w:t>
      </w:r>
      <w:r w:rsidR="002C4DE8" w:rsidRPr="004D3466">
        <w:t>SO</w:t>
      </w:r>
      <w:r w:rsidR="002C4DE8" w:rsidRPr="004D3466">
        <w:rPr>
          <w:vertAlign w:val="subscript"/>
        </w:rPr>
        <w:t>4</w:t>
      </w:r>
      <w:r w:rsidR="002C4DE8" w:rsidRPr="004D3466">
        <w:t xml:space="preserve"> after 7.5 s reaction time. Low water concentrations of [H</w:t>
      </w:r>
      <w:r w:rsidR="002C4DE8" w:rsidRPr="004D3466">
        <w:rPr>
          <w:vertAlign w:val="subscript"/>
        </w:rPr>
        <w:t>2</w:t>
      </w:r>
      <w:r w:rsidR="002C4DE8" w:rsidRPr="004D3466">
        <w:t>O] &lt;</w:t>
      </w:r>
      <w:r w:rsidR="002C4DE8">
        <w:t xml:space="preserve"> </w:t>
      </w:r>
      <w:r w:rsidR="002C4DE8" w:rsidRPr="004D3466">
        <w:t>10</w:t>
      </w:r>
      <w:r w:rsidR="002C4DE8" w:rsidRPr="004D3466">
        <w:rPr>
          <w:vertAlign w:val="superscript"/>
        </w:rPr>
        <w:t>15</w:t>
      </w:r>
      <w:r w:rsidR="002C4DE8" w:rsidRPr="004D3466">
        <w:t xml:space="preserve"> molecule cm</w:t>
      </w:r>
      <w:r w:rsidR="002C4DE8" w:rsidRPr="004D3466">
        <w:rPr>
          <w:vertAlign w:val="superscript"/>
        </w:rPr>
        <w:t>-3</w:t>
      </w:r>
      <w:r w:rsidR="002C4DE8" w:rsidRPr="004D3466">
        <w:t xml:space="preserve"> and, as a consequence, very low water dimer concentrations of [(H</w:t>
      </w:r>
      <w:r w:rsidR="002C4DE8" w:rsidRPr="004D3466">
        <w:rPr>
          <w:vertAlign w:val="subscript"/>
        </w:rPr>
        <w:t>2</w:t>
      </w:r>
      <w:r w:rsidR="002C4DE8" w:rsidRPr="004D3466">
        <w:t>O)</w:t>
      </w:r>
      <w:r w:rsidR="002C4DE8" w:rsidRPr="004D3466">
        <w:rPr>
          <w:vertAlign w:val="subscript"/>
        </w:rPr>
        <w:t>2</w:t>
      </w:r>
      <w:r w:rsidR="002C4DE8" w:rsidRPr="004D3466">
        <w:t xml:space="preserve">] = 2.5 </w:t>
      </w:r>
      <w:r w:rsidR="002C4DE8">
        <w:t>×</w:t>
      </w:r>
      <w:r w:rsidR="002C4DE8" w:rsidRPr="004D3466">
        <w:t xml:space="preserve"> 10</w:t>
      </w:r>
      <w:r w:rsidR="002C4DE8" w:rsidRPr="004D3466">
        <w:rPr>
          <w:vertAlign w:val="superscript"/>
        </w:rPr>
        <w:t>9</w:t>
      </w:r>
      <w:r w:rsidR="002C4DE8" w:rsidRPr="004D3466">
        <w:t xml:space="preserve"> molecule cm</w:t>
      </w:r>
      <w:r w:rsidR="002C4DE8" w:rsidRPr="004D3466">
        <w:rPr>
          <w:vertAlign w:val="superscript"/>
        </w:rPr>
        <w:t>-3</w:t>
      </w:r>
      <w:r w:rsidR="002C4DE8" w:rsidRPr="004D3466">
        <w:t xml:space="preserve"> (</w:t>
      </w:r>
      <w:proofErr w:type="spellStart"/>
      <w:r w:rsidR="002C4DE8" w:rsidRPr="004D3466">
        <w:t>Scribano</w:t>
      </w:r>
      <w:proofErr w:type="spellEnd"/>
      <w:r w:rsidR="002C4DE8" w:rsidRPr="004D3466">
        <w:t xml:space="preserve"> et al., 2006) permitted the separation of reaction (1) from reaction (2). The cited rate coefficient </w:t>
      </w:r>
      <w:r w:rsidR="002C4DE8" w:rsidRPr="004D3466">
        <w:rPr>
          <w:i/>
        </w:rPr>
        <w:t>k</w:t>
      </w:r>
      <w:r w:rsidR="002C4DE8" w:rsidRPr="004D3466">
        <w:rPr>
          <w:vertAlign w:val="subscript"/>
        </w:rPr>
        <w:t>1</w:t>
      </w:r>
      <w:r w:rsidR="002C4DE8" w:rsidRPr="004D3466">
        <w:t xml:space="preserve"> was determined by fitting a parameterized expression for the [H</w:t>
      </w:r>
      <w:r w:rsidR="002C4DE8" w:rsidRPr="004D3466">
        <w:rPr>
          <w:vertAlign w:val="subscript"/>
        </w:rPr>
        <w:t>2</w:t>
      </w:r>
      <w:r w:rsidR="002C4DE8" w:rsidRPr="004D3466">
        <w:t>O] dependence of the ratio [H</w:t>
      </w:r>
      <w:r w:rsidR="002C4DE8" w:rsidRPr="004D3466">
        <w:rPr>
          <w:vertAlign w:val="subscript"/>
        </w:rPr>
        <w:t>2</w:t>
      </w:r>
      <w:r w:rsidR="002C4DE8" w:rsidRPr="004D3466">
        <w:t>SO</w:t>
      </w:r>
      <w:r w:rsidR="002C4DE8" w:rsidRPr="004D3466">
        <w:rPr>
          <w:vertAlign w:val="subscript"/>
        </w:rPr>
        <w:t>4</w:t>
      </w:r>
      <w:r w:rsidR="002C4DE8" w:rsidRPr="004D3466">
        <w:t>]/[C</w:t>
      </w:r>
      <w:r w:rsidR="002C4DE8" w:rsidRPr="004D3466">
        <w:rPr>
          <w:vertAlign w:val="subscript"/>
        </w:rPr>
        <w:t>2</w:t>
      </w:r>
      <w:r w:rsidR="002C4DE8" w:rsidRPr="004D3466">
        <w:t>H</w:t>
      </w:r>
      <w:r w:rsidR="002C4DE8" w:rsidRPr="004D3466">
        <w:rPr>
          <w:vertAlign w:val="subscript"/>
        </w:rPr>
        <w:t>4</w:t>
      </w:r>
      <w:r w:rsidR="002C4DE8" w:rsidRPr="004D3466">
        <w:t xml:space="preserve">], assuming </w:t>
      </w:r>
      <w:proofErr w:type="spellStart"/>
      <w:r w:rsidR="002C4DE8" w:rsidRPr="004D3466">
        <w:rPr>
          <w:i/>
        </w:rPr>
        <w:t>k</w:t>
      </w:r>
      <w:r w:rsidR="002C4DE8" w:rsidRPr="004D3466">
        <w:rPr>
          <w:vertAlign w:val="subscript"/>
        </w:rPr>
        <w:t>uni</w:t>
      </w:r>
      <w:proofErr w:type="spellEnd"/>
      <w:r w:rsidR="002C4DE8" w:rsidRPr="004D3466">
        <w:t xml:space="preserve"> = 0.19 s</w:t>
      </w:r>
      <w:r w:rsidR="002C4DE8" w:rsidRPr="004D3466">
        <w:rPr>
          <w:vertAlign w:val="superscript"/>
        </w:rPr>
        <w:t>-1</w:t>
      </w:r>
      <w:r w:rsidR="002C4DE8" w:rsidRPr="004D3466">
        <w:t>, and appropriate uncertainty in the parameters.</w:t>
      </w:r>
    </w:p>
    <w:p w14:paraId="478F152A" w14:textId="016229C4" w:rsidR="00ED24D0" w:rsidRPr="004A5A5E" w:rsidRDefault="00E8367B" w:rsidP="00ED24D0">
      <w:pPr>
        <w:numPr>
          <w:ilvl w:val="0"/>
          <w:numId w:val="3"/>
        </w:numPr>
        <w:tabs>
          <w:tab w:val="left" w:pos="-1440"/>
          <w:tab w:val="left" w:pos="-720"/>
        </w:tabs>
        <w:jc w:val="both"/>
        <w:rPr>
          <w:color w:val="auto"/>
        </w:rPr>
      </w:pPr>
      <w:r>
        <w:t>CH</w:t>
      </w:r>
      <w:r>
        <w:rPr>
          <w:vertAlign w:val="subscript"/>
        </w:rPr>
        <w:t>2</w:t>
      </w:r>
      <w:r>
        <w:t>OO prepared by PLP (266 nm) of CH</w:t>
      </w:r>
      <w:r>
        <w:rPr>
          <w:vertAlign w:val="subscript"/>
        </w:rPr>
        <w:t>2</w:t>
      </w:r>
      <w:r>
        <w:t>I</w:t>
      </w:r>
      <w:r>
        <w:rPr>
          <w:vertAlign w:val="subscript"/>
        </w:rPr>
        <w:t>2</w:t>
      </w:r>
      <w:r>
        <w:t xml:space="preserve"> in O</w:t>
      </w:r>
      <w:r>
        <w:rPr>
          <w:vertAlign w:val="subscript"/>
        </w:rPr>
        <w:t>2</w:t>
      </w:r>
      <w:r>
        <w:t>/</w:t>
      </w:r>
      <w:proofErr w:type="spellStart"/>
      <w:r>
        <w:t>Ar</w:t>
      </w:r>
      <w:proofErr w:type="spellEnd"/>
      <w:r>
        <w:t xml:space="preserve"> mixtures at 5.1 Torr pressure. CH</w:t>
      </w:r>
      <w:r>
        <w:rPr>
          <w:vertAlign w:val="subscript"/>
        </w:rPr>
        <w:t>2</w:t>
      </w:r>
      <w:r>
        <w:t>OO kinetics observed by time-resolved UV absorption in the B̃ (1A′) ← X̃(1A′) electronic transition, measured over range 280-600 nm using a CCD</w:t>
      </w:r>
      <w:r w:rsidR="00DF18E4">
        <w:t xml:space="preserve"> or</w:t>
      </w:r>
      <w:r>
        <w:t xml:space="preserve"> a photodiode (at 350</w:t>
      </w:r>
      <w:r w:rsidR="00793835">
        <w:t xml:space="preserve"> </w:t>
      </w:r>
      <w:r>
        <w:t>±</w:t>
      </w:r>
      <w:r w:rsidR="00793835">
        <w:t xml:space="preserve"> </w:t>
      </w:r>
      <w:r>
        <w:t xml:space="preserve">5 nm), in </w:t>
      </w:r>
      <w:r w:rsidR="005645F0">
        <w:t xml:space="preserve">the </w:t>
      </w:r>
      <w:r>
        <w:t>absence and presence of H</w:t>
      </w:r>
      <w:r>
        <w:rPr>
          <w:vertAlign w:val="subscript"/>
        </w:rPr>
        <w:t>2</w:t>
      </w:r>
      <w:r>
        <w:t>O (RH = 3</w:t>
      </w:r>
      <w:r w:rsidR="005645F0">
        <w:t xml:space="preserve"> </w:t>
      </w:r>
      <w:r>
        <w:t>% to 80</w:t>
      </w:r>
      <w:r w:rsidR="005645F0">
        <w:t xml:space="preserve"> </w:t>
      </w:r>
      <w:r>
        <w:t xml:space="preserve">%). Rate constants extracted by fitting plots of </w:t>
      </w:r>
      <w:proofErr w:type="spellStart"/>
      <w:r>
        <w:rPr>
          <w:i/>
        </w:rPr>
        <w:t>k</w:t>
      </w:r>
      <w:r>
        <w:rPr>
          <w:vertAlign w:val="subscript"/>
        </w:rPr>
        <w:t>obs</w:t>
      </w:r>
      <w:proofErr w:type="spellEnd"/>
      <w:r>
        <w:t xml:space="preserve"> vs RH or [(H</w:t>
      </w:r>
      <w:r>
        <w:rPr>
          <w:vertAlign w:val="subscript"/>
        </w:rPr>
        <w:t>2</w:t>
      </w:r>
      <w:r>
        <w:t>O)</w:t>
      </w:r>
      <w:r>
        <w:rPr>
          <w:vertAlign w:val="subscript"/>
        </w:rPr>
        <w:t>2</w:t>
      </w:r>
      <w:r>
        <w:t xml:space="preserve">], calculated using </w:t>
      </w:r>
      <w:proofErr w:type="spellStart"/>
      <w:r>
        <w:rPr>
          <w:i/>
        </w:rPr>
        <w:t>K</w:t>
      </w:r>
      <w:r>
        <w:rPr>
          <w:vertAlign w:val="subscript"/>
        </w:rPr>
        <w:t>p</w:t>
      </w:r>
      <w:proofErr w:type="spellEnd"/>
      <w:r>
        <w:t xml:space="preserve"> (298) = 0.0501 bar</w:t>
      </w:r>
      <w:r>
        <w:rPr>
          <w:vertAlign w:val="superscript"/>
        </w:rPr>
        <w:t>-1</w:t>
      </w:r>
      <w:r>
        <w:t xml:space="preserve"> at 298</w:t>
      </w:r>
      <w:r w:rsidR="005645F0">
        <w:t xml:space="preserve"> </w:t>
      </w:r>
      <w:r>
        <w:t xml:space="preserve">K where </w:t>
      </w:r>
      <w:proofErr w:type="spellStart"/>
      <w:r w:rsidRPr="005645F0">
        <w:rPr>
          <w:i/>
          <w:iCs/>
        </w:rPr>
        <w:t>P</w:t>
      </w:r>
      <w:r>
        <w:rPr>
          <w:vertAlign w:val="subscript"/>
        </w:rPr>
        <w:t>sat</w:t>
      </w:r>
      <w:proofErr w:type="spellEnd"/>
      <w:r>
        <w:t xml:space="preserve"> = 23.8 torr.  Uncertainty on </w:t>
      </w:r>
      <w:r w:rsidR="005645F0">
        <w:t>[(H</w:t>
      </w:r>
      <w:r w:rsidR="005645F0">
        <w:rPr>
          <w:vertAlign w:val="subscript"/>
        </w:rPr>
        <w:t>2</w:t>
      </w:r>
      <w:r w:rsidR="005645F0">
        <w:t>O)</w:t>
      </w:r>
      <w:r w:rsidR="005645F0">
        <w:rPr>
          <w:vertAlign w:val="subscript"/>
        </w:rPr>
        <w:t>2</w:t>
      </w:r>
      <w:r w:rsidR="005645F0">
        <w:t>]</w:t>
      </w:r>
      <w:r>
        <w:t xml:space="preserve"> was estimated to be ± 12</w:t>
      </w:r>
      <w:r w:rsidR="005645F0">
        <w:t xml:space="preserve"> </w:t>
      </w:r>
      <w:r>
        <w:t xml:space="preserve">%.  Incorporation of the monomer reaction into the fit gave </w:t>
      </w:r>
      <w:r w:rsidRPr="00E8367B">
        <w:rPr>
          <w:i/>
          <w:iCs/>
        </w:rPr>
        <w:t>k</w:t>
      </w:r>
      <w:r>
        <w:rPr>
          <w:iCs/>
          <w:vertAlign w:val="subscript"/>
        </w:rPr>
        <w:t>1</w:t>
      </w:r>
      <w:r>
        <w:rPr>
          <w:iCs/>
        </w:rPr>
        <w:t xml:space="preserve"> &lt; 1.5 </w:t>
      </w:r>
      <w:r w:rsidRPr="008F10DE">
        <w:rPr>
          <w:rFonts w:ascii="Symbol" w:hAnsi="Symbol" w:cs="Symbol"/>
          <w:color w:val="auto"/>
        </w:rPr>
        <w:t></w:t>
      </w:r>
      <w:r>
        <w:t xml:space="preserve"> 10</w:t>
      </w:r>
      <w:r>
        <w:rPr>
          <w:vertAlign w:val="superscript"/>
        </w:rPr>
        <w:t>-15</w:t>
      </w:r>
      <w:r>
        <w:t xml:space="preserve"> cm</w:t>
      </w:r>
      <w:r>
        <w:rPr>
          <w:vertAlign w:val="superscript"/>
        </w:rPr>
        <w:t>3</w:t>
      </w:r>
      <w:r>
        <w:t xml:space="preserve"> molecule</w:t>
      </w:r>
      <w:r>
        <w:rPr>
          <w:vertAlign w:val="superscript"/>
        </w:rPr>
        <w:t>-1</w:t>
      </w:r>
      <w:r>
        <w:t xml:space="preserve"> s</w:t>
      </w:r>
      <w:r>
        <w:rPr>
          <w:vertAlign w:val="superscript"/>
        </w:rPr>
        <w:t>-1</w:t>
      </w:r>
      <w:r>
        <w:t>.</w:t>
      </w:r>
    </w:p>
    <w:p w14:paraId="572BB443" w14:textId="06E1FDBA" w:rsidR="00AC70C1" w:rsidRPr="00E8367B" w:rsidRDefault="00E8367B" w:rsidP="00ED24D0">
      <w:pPr>
        <w:numPr>
          <w:ilvl w:val="0"/>
          <w:numId w:val="3"/>
        </w:numPr>
        <w:tabs>
          <w:tab w:val="left" w:pos="-1440"/>
          <w:tab w:val="left" w:pos="-720"/>
        </w:tabs>
        <w:jc w:val="both"/>
        <w:rPr>
          <w:color w:val="auto"/>
        </w:rPr>
      </w:pPr>
      <w:r>
        <w:t>CH</w:t>
      </w:r>
      <w:r>
        <w:rPr>
          <w:vertAlign w:val="subscript"/>
        </w:rPr>
        <w:t>2</w:t>
      </w:r>
      <w:r>
        <w:t>OO prepared by PLP (266 nm) of CH</w:t>
      </w:r>
      <w:r>
        <w:rPr>
          <w:vertAlign w:val="subscript"/>
        </w:rPr>
        <w:t>2</w:t>
      </w:r>
      <w:r>
        <w:t>I</w:t>
      </w:r>
      <w:r>
        <w:rPr>
          <w:vertAlign w:val="subscript"/>
        </w:rPr>
        <w:t>2</w:t>
      </w:r>
      <w:r>
        <w:t xml:space="preserve"> in O</w:t>
      </w:r>
      <w:r>
        <w:rPr>
          <w:vertAlign w:val="subscript"/>
        </w:rPr>
        <w:t>2</w:t>
      </w:r>
      <w:r>
        <w:t>/</w:t>
      </w:r>
      <w:proofErr w:type="spellStart"/>
      <w:r>
        <w:t>Ar</w:t>
      </w:r>
      <w:proofErr w:type="spellEnd"/>
      <w:r>
        <w:t xml:space="preserve"> mixtures at 5.1 Torr pressure. CH</w:t>
      </w:r>
      <w:r>
        <w:rPr>
          <w:vertAlign w:val="subscript"/>
        </w:rPr>
        <w:t>2</w:t>
      </w:r>
      <w:r>
        <w:t>OO kinetics</w:t>
      </w:r>
      <w:r w:rsidR="00DF18E4">
        <w:t>,</w:t>
      </w:r>
      <w:r>
        <w:t xml:space="preserve"> observed by time-resolved UV absorption in the B̃ (1A′) ← X̃(1A′) electronic transition between 350 – 420 nm, were first order in the presence and absence of H</w:t>
      </w:r>
      <w:r>
        <w:rPr>
          <w:vertAlign w:val="subscript"/>
        </w:rPr>
        <w:t>2</w:t>
      </w:r>
      <w:r>
        <w:t>O, independent of total pressure.  However</w:t>
      </w:r>
      <w:r w:rsidR="00B81793">
        <w:t>,</w:t>
      </w:r>
      <w:r>
        <w:t xml:space="preserve"> dependence of </w:t>
      </w:r>
      <w:r w:rsidR="005645F0">
        <w:t>the first-order decay constant</w:t>
      </w:r>
      <w:r>
        <w:t xml:space="preserve"> on [H</w:t>
      </w:r>
      <w:r>
        <w:rPr>
          <w:vertAlign w:val="subscript"/>
        </w:rPr>
        <w:t>2</w:t>
      </w:r>
      <w:r>
        <w:t xml:space="preserve">O] </w:t>
      </w:r>
      <w:r w:rsidR="005645F0">
        <w:t>in</w:t>
      </w:r>
      <w:r>
        <w:t xml:space="preserve"> the range 0 to 25 </w:t>
      </w:r>
      <w:r w:rsidRPr="008F10DE">
        <w:rPr>
          <w:rFonts w:ascii="Symbol" w:hAnsi="Symbol" w:cs="Symbol"/>
          <w:color w:val="auto"/>
        </w:rPr>
        <w:t></w:t>
      </w:r>
      <w:r>
        <w:t xml:space="preserve"> 10</w:t>
      </w:r>
      <w:r>
        <w:rPr>
          <w:vertAlign w:val="superscript"/>
        </w:rPr>
        <w:t>16</w:t>
      </w:r>
      <w:r>
        <w:t xml:space="preserve"> molecule cm</w:t>
      </w:r>
      <w:r>
        <w:rPr>
          <w:vertAlign w:val="superscript"/>
        </w:rPr>
        <w:t>-3</w:t>
      </w:r>
      <w:r>
        <w:t xml:space="preserve"> </w:t>
      </w:r>
      <w:r w:rsidR="005645F0">
        <w:t xml:space="preserve">was </w:t>
      </w:r>
      <w:r>
        <w:t>fitted best by a quadratic</w:t>
      </w:r>
      <w:r w:rsidR="00DF18E4">
        <w:t xml:space="preserve"> function</w:t>
      </w:r>
      <w:r>
        <w:t>, indicating that CH</w:t>
      </w:r>
      <w:r>
        <w:rPr>
          <w:vertAlign w:val="subscript"/>
        </w:rPr>
        <w:t>2</w:t>
      </w:r>
      <w:r>
        <w:t>OO was reacting predominantly with the water dimer. The cited rate coefficient</w:t>
      </w:r>
      <w:r w:rsidR="005645F0">
        <w:t>,</w:t>
      </w:r>
      <w:r>
        <w:t xml:space="preserve"> </w:t>
      </w:r>
      <w:r w:rsidRPr="00E8367B">
        <w:rPr>
          <w:i/>
        </w:rPr>
        <w:t>k</w:t>
      </w:r>
      <w:r>
        <w:rPr>
          <w:vertAlign w:val="subscript"/>
        </w:rPr>
        <w:t>2</w:t>
      </w:r>
      <w:r w:rsidR="005645F0">
        <w:t xml:space="preserve">, </w:t>
      </w:r>
      <w:r>
        <w:t xml:space="preserve">was calculated using the </w:t>
      </w:r>
      <w:proofErr w:type="spellStart"/>
      <w:r>
        <w:t>parameterisation</w:t>
      </w:r>
      <w:proofErr w:type="spellEnd"/>
      <w:r>
        <w:t xml:space="preserve"> of </w:t>
      </w:r>
      <w:proofErr w:type="spellStart"/>
      <w:r>
        <w:t>Scribano</w:t>
      </w:r>
      <w:proofErr w:type="spellEnd"/>
      <w:r>
        <w:t xml:space="preserve"> et al. (2006) to calculate [(H</w:t>
      </w:r>
      <w:r>
        <w:rPr>
          <w:vertAlign w:val="subscript"/>
        </w:rPr>
        <w:t>2</w:t>
      </w:r>
      <w:r>
        <w:t>O)</w:t>
      </w:r>
      <w:r>
        <w:rPr>
          <w:vertAlign w:val="subscript"/>
        </w:rPr>
        <w:t>2</w:t>
      </w:r>
      <w:r>
        <w:t>], i.e</w:t>
      </w:r>
      <w:r w:rsidR="00D43314">
        <w:t>.</w:t>
      </w:r>
      <w:r>
        <w:t xml:space="preserve"> </w:t>
      </w:r>
      <w:proofErr w:type="spellStart"/>
      <w:r>
        <w:rPr>
          <w:i/>
        </w:rPr>
        <w:t>K</w:t>
      </w:r>
      <w:r>
        <w:rPr>
          <w:vertAlign w:val="subscript"/>
        </w:rPr>
        <w:t>p</w:t>
      </w:r>
      <w:proofErr w:type="spellEnd"/>
      <w:r>
        <w:t xml:space="preserve"> (298) = 0.0579 bar</w:t>
      </w:r>
      <w:r>
        <w:rPr>
          <w:vertAlign w:val="superscript"/>
        </w:rPr>
        <w:t>-1</w:t>
      </w:r>
      <w:r>
        <w:t xml:space="preserve"> at 294 K.</w:t>
      </w:r>
    </w:p>
    <w:p w14:paraId="42AF5D89" w14:textId="5CEF6BE5" w:rsidR="00E8367B" w:rsidRPr="003C4E5D" w:rsidRDefault="00E8367B" w:rsidP="00ED24D0">
      <w:pPr>
        <w:numPr>
          <w:ilvl w:val="0"/>
          <w:numId w:val="3"/>
        </w:numPr>
        <w:tabs>
          <w:tab w:val="left" w:pos="-1440"/>
          <w:tab w:val="left" w:pos="-720"/>
        </w:tabs>
        <w:jc w:val="both"/>
        <w:rPr>
          <w:color w:val="auto"/>
        </w:rPr>
      </w:pPr>
      <w:r>
        <w:t>CH</w:t>
      </w:r>
      <w:r>
        <w:rPr>
          <w:vertAlign w:val="subscript"/>
        </w:rPr>
        <w:t>2</w:t>
      </w:r>
      <w:r>
        <w:t>OO prepared by PLP (248 nm) of CH</w:t>
      </w:r>
      <w:r>
        <w:rPr>
          <w:vertAlign w:val="subscript"/>
        </w:rPr>
        <w:t>2</w:t>
      </w:r>
      <w:r>
        <w:t>I</w:t>
      </w:r>
      <w:r>
        <w:rPr>
          <w:vertAlign w:val="subscript"/>
        </w:rPr>
        <w:t>2</w:t>
      </w:r>
      <w:r>
        <w:t xml:space="preserve"> in N</w:t>
      </w:r>
      <w:r>
        <w:rPr>
          <w:vertAlign w:val="subscript"/>
        </w:rPr>
        <w:t>2</w:t>
      </w:r>
      <w:r>
        <w:t>/O</w:t>
      </w:r>
      <w:r>
        <w:rPr>
          <w:vertAlign w:val="subscript"/>
        </w:rPr>
        <w:t xml:space="preserve">2 </w:t>
      </w:r>
      <w:r>
        <w:t>at 5.1 Torr pressure. CH</w:t>
      </w:r>
      <w:r>
        <w:rPr>
          <w:vertAlign w:val="subscript"/>
        </w:rPr>
        <w:t>2</w:t>
      </w:r>
      <w:r>
        <w:t>OO was observed by time-resolved of UV absorption at 340 nm. The kinetics of the reaction of CH</w:t>
      </w:r>
      <w:r>
        <w:rPr>
          <w:vertAlign w:val="subscript"/>
        </w:rPr>
        <w:t>2</w:t>
      </w:r>
      <w:r>
        <w:t>OO with water vapor was measured as a function of [H</w:t>
      </w:r>
      <w:r>
        <w:rPr>
          <w:vertAlign w:val="subscript"/>
        </w:rPr>
        <w:t>2</w:t>
      </w:r>
      <w:r>
        <w:t xml:space="preserve">O] at temperatures from 283 to 324 K. The </w:t>
      </w:r>
      <w:r w:rsidR="002C4DE8">
        <w:t xml:space="preserve">observed first-order </w:t>
      </w:r>
      <w:r>
        <w:t xml:space="preserve">decay constant increased </w:t>
      </w:r>
      <w:r w:rsidR="00DF18E4">
        <w:t>quadratically</w:t>
      </w:r>
      <w:r w:rsidR="00DF18E4">
        <w:t xml:space="preserve"> </w:t>
      </w:r>
      <w:r>
        <w:t>with [H</w:t>
      </w:r>
      <w:r>
        <w:rPr>
          <w:vertAlign w:val="subscript"/>
        </w:rPr>
        <w:t>2</w:t>
      </w:r>
      <w:r>
        <w:t>O], consistent with domina</w:t>
      </w:r>
      <w:r w:rsidR="00DF18E4">
        <w:t>n</w:t>
      </w:r>
      <w:r>
        <w:t>t reaction with the water dimer. The dimer concentration</w:t>
      </w:r>
      <w:r w:rsidR="002C4DE8">
        <w:t>s were</w:t>
      </w:r>
      <w:r>
        <w:t xml:space="preserve"> calculated using the T-dependent equilibrium constant for water dimerization, </w:t>
      </w:r>
      <w:r>
        <w:rPr>
          <w:i/>
        </w:rPr>
        <w:t>K</w:t>
      </w:r>
      <w:r>
        <w:rPr>
          <w:i/>
          <w:vertAlign w:val="subscript"/>
        </w:rPr>
        <w:t>e</w:t>
      </w:r>
      <w:r>
        <w:rPr>
          <w:vertAlign w:val="subscript"/>
        </w:rPr>
        <w:t>q</w:t>
      </w:r>
      <w:r>
        <w:t xml:space="preserve">(T) of </w:t>
      </w:r>
      <w:proofErr w:type="spellStart"/>
      <w:r>
        <w:t>Ruscic</w:t>
      </w:r>
      <w:proofErr w:type="spellEnd"/>
      <w:r>
        <w:t xml:space="preserve"> (2013)</w:t>
      </w:r>
      <w:r w:rsidR="002C4DE8">
        <w:t xml:space="preserve">, with values of </w:t>
      </w:r>
      <w:r w:rsidR="002C4DE8" w:rsidRPr="002C4DE8">
        <w:rPr>
          <w:i/>
        </w:rPr>
        <w:t>k</w:t>
      </w:r>
      <w:r w:rsidR="002C4DE8" w:rsidRPr="002C4DE8">
        <w:rPr>
          <w:vertAlign w:val="subscript"/>
        </w:rPr>
        <w:t>2</w:t>
      </w:r>
      <w:r w:rsidR="002C4DE8">
        <w:t xml:space="preserve"> derived from the variation of the fir</w:t>
      </w:r>
      <w:r w:rsidR="008708A1">
        <w:t>s</w:t>
      </w:r>
      <w:r w:rsidR="002C4DE8">
        <w:t>t-order decay constant with [(H</w:t>
      </w:r>
      <w:r w:rsidR="002C4DE8" w:rsidRPr="002C4DE8">
        <w:rPr>
          <w:vertAlign w:val="subscript"/>
        </w:rPr>
        <w:t>2</w:t>
      </w:r>
      <w:r w:rsidR="002C4DE8">
        <w:t>O)</w:t>
      </w:r>
      <w:r w:rsidR="002C4DE8" w:rsidRPr="002C4DE8">
        <w:rPr>
          <w:vertAlign w:val="subscript"/>
        </w:rPr>
        <w:t>2</w:t>
      </w:r>
      <w:r w:rsidR="002C4DE8">
        <w:t>]</w:t>
      </w:r>
      <w:r>
        <w:t>.</w:t>
      </w:r>
      <w:r w:rsidR="002C4DE8">
        <w:t xml:space="preserve"> They report an activation energy of </w:t>
      </w:r>
      <w:r w:rsidR="008708A1">
        <w:t>-</w:t>
      </w:r>
      <w:r w:rsidR="002C4DE8">
        <w:t>(</w:t>
      </w:r>
      <w:r w:rsidR="008708A1">
        <w:t>8.1 ± 0.6) kcal mol</w:t>
      </w:r>
      <w:r w:rsidR="008708A1" w:rsidRPr="008708A1">
        <w:rPr>
          <w:vertAlign w:val="superscript"/>
        </w:rPr>
        <w:t>-1</w:t>
      </w:r>
      <w:r w:rsidR="008708A1">
        <w:t xml:space="preserve">, from the variation of </w:t>
      </w:r>
      <w:r w:rsidR="008708A1" w:rsidRPr="008708A1">
        <w:rPr>
          <w:i/>
        </w:rPr>
        <w:t>k</w:t>
      </w:r>
      <w:r w:rsidR="008708A1" w:rsidRPr="008708A1">
        <w:rPr>
          <w:vertAlign w:val="subscript"/>
        </w:rPr>
        <w:t>2</w:t>
      </w:r>
      <w:r w:rsidR="008708A1">
        <w:t xml:space="preserve"> over the studied temperature range, and this forms the basis of the</w:t>
      </w:r>
      <w:r>
        <w:t xml:space="preserve"> Arrhenius expression</w:t>
      </w:r>
      <w:r w:rsidR="008708A1">
        <w:t xml:space="preserve"> tabulated above</w:t>
      </w:r>
      <w:r>
        <w:t>.</w:t>
      </w:r>
    </w:p>
    <w:p w14:paraId="5CA41986" w14:textId="77777777" w:rsidR="003C4E5D" w:rsidRPr="00E67E4D" w:rsidRDefault="003C4E5D" w:rsidP="00F93475">
      <w:pPr>
        <w:numPr>
          <w:ilvl w:val="0"/>
          <w:numId w:val="3"/>
        </w:numPr>
        <w:tabs>
          <w:tab w:val="left" w:pos="-1440"/>
          <w:tab w:val="left" w:pos="-720"/>
        </w:tabs>
        <w:jc w:val="both"/>
        <w:rPr>
          <w:color w:val="auto"/>
        </w:rPr>
      </w:pPr>
      <w:r>
        <w:lastRenderedPageBreak/>
        <w:t>CH</w:t>
      </w:r>
      <w:r w:rsidRPr="00E67E4D">
        <w:rPr>
          <w:vertAlign w:val="subscript"/>
        </w:rPr>
        <w:t>2</w:t>
      </w:r>
      <w:r>
        <w:t>OO prepared by PLP (248</w:t>
      </w:r>
      <w:r w:rsidR="00E67E4D">
        <w:t>, 266 or 351</w:t>
      </w:r>
      <w:r>
        <w:t>nm) of CH</w:t>
      </w:r>
      <w:r w:rsidRPr="00E67E4D">
        <w:rPr>
          <w:vertAlign w:val="subscript"/>
        </w:rPr>
        <w:t>2</w:t>
      </w:r>
      <w:r>
        <w:t>I</w:t>
      </w:r>
      <w:r w:rsidRPr="00E67E4D">
        <w:rPr>
          <w:vertAlign w:val="subscript"/>
        </w:rPr>
        <w:t>2</w:t>
      </w:r>
      <w:r>
        <w:t xml:space="preserve"> in O</w:t>
      </w:r>
      <w:r w:rsidRPr="00E67E4D">
        <w:rPr>
          <w:vertAlign w:val="subscript"/>
        </w:rPr>
        <w:t>2</w:t>
      </w:r>
      <w:r w:rsidR="00E67E4D">
        <w:t>/</w:t>
      </w:r>
      <w:r w:rsidR="00E67E4D" w:rsidRPr="00E67E4D">
        <w:t xml:space="preserve">He or </w:t>
      </w:r>
      <w:r w:rsidR="00E67E4D">
        <w:t>O</w:t>
      </w:r>
      <w:r w:rsidR="00E67E4D" w:rsidRPr="00E67E4D">
        <w:rPr>
          <w:vertAlign w:val="subscript"/>
        </w:rPr>
        <w:t>2</w:t>
      </w:r>
      <w:r w:rsidR="00E67E4D">
        <w:t>/</w:t>
      </w:r>
      <w:r w:rsidR="00E67E4D" w:rsidRPr="00E67E4D">
        <w:t>N</w:t>
      </w:r>
      <w:r w:rsidR="00E67E4D" w:rsidRPr="00E67E4D">
        <w:rPr>
          <w:vertAlign w:val="subscript"/>
        </w:rPr>
        <w:t>2</w:t>
      </w:r>
      <w:r w:rsidR="00E67E4D" w:rsidRPr="00E67E4D">
        <w:t xml:space="preserve"> </w:t>
      </w:r>
      <w:r>
        <w:t xml:space="preserve">at </w:t>
      </w:r>
      <w:r w:rsidR="00E67E4D">
        <w:t>30</w:t>
      </w:r>
      <w:r w:rsidR="00E67E4D" w:rsidRPr="00E67E4D">
        <w:rPr>
          <w:rFonts w:ascii="Symbol" w:hAnsi="Symbol"/>
        </w:rPr>
        <w:t>-</w:t>
      </w:r>
      <w:r w:rsidR="00E67E4D">
        <w:t>100</w:t>
      </w:r>
      <w:r>
        <w:t xml:space="preserve"> Torr pressure</w:t>
      </w:r>
      <w:r w:rsidR="00E67E4D">
        <w:t xml:space="preserve">. The experiments were probed using either time-resolved broadband cavity-enhanced absorption spectroscopy (TR-BB-CEAS) or photoionization mass spectrometry (PIMS). Values of </w:t>
      </w:r>
      <w:r w:rsidR="00E67E4D" w:rsidRPr="00E67E4D">
        <w:rPr>
          <w:i/>
          <w:iCs/>
        </w:rPr>
        <w:t>k</w:t>
      </w:r>
      <w:r w:rsidR="00E67E4D" w:rsidRPr="00E67E4D">
        <w:rPr>
          <w:vertAlign w:val="subscript"/>
        </w:rPr>
        <w:t>1</w:t>
      </w:r>
      <w:r w:rsidR="00E67E4D">
        <w:t xml:space="preserve"> and </w:t>
      </w:r>
      <w:r w:rsidR="00E67E4D" w:rsidRPr="00E67E4D">
        <w:rPr>
          <w:i/>
          <w:iCs/>
        </w:rPr>
        <w:t>k</w:t>
      </w:r>
      <w:r w:rsidR="00E67E4D" w:rsidRPr="00E67E4D">
        <w:rPr>
          <w:vertAlign w:val="subscript"/>
        </w:rPr>
        <w:t>2</w:t>
      </w:r>
      <w:r w:rsidR="00E67E4D">
        <w:t xml:space="preserve"> obtained from </w:t>
      </w:r>
      <w:r w:rsidR="00C033B3">
        <w:t xml:space="preserve">variation of </w:t>
      </w:r>
      <w:r w:rsidR="00E67E4D">
        <w:t>observed first-order decay</w:t>
      </w:r>
      <w:r w:rsidR="00C033B3">
        <w:t xml:space="preserve"> constants</w:t>
      </w:r>
      <w:r w:rsidR="00E67E4D">
        <w:t xml:space="preserve"> in experiments performed </w:t>
      </w:r>
      <w:r w:rsidR="005645F0">
        <w:t>over</w:t>
      </w:r>
      <w:r w:rsidR="00E67E4D">
        <w:t xml:space="preserve"> a range of [H</w:t>
      </w:r>
      <w:r w:rsidR="00E67E4D" w:rsidRPr="00E67E4D">
        <w:rPr>
          <w:vertAlign w:val="subscript"/>
        </w:rPr>
        <w:t>2</w:t>
      </w:r>
      <w:r w:rsidR="00E67E4D">
        <w:t>O], using a simplified mechanism in which CH</w:t>
      </w:r>
      <w:r w:rsidR="00E67E4D" w:rsidRPr="00E67E4D">
        <w:rPr>
          <w:vertAlign w:val="subscript"/>
        </w:rPr>
        <w:t>2</w:t>
      </w:r>
      <w:r w:rsidR="00E67E4D">
        <w:t>OO was removed by reactions (1), (2) and background loss process.</w:t>
      </w:r>
      <w:r w:rsidR="00C033B3">
        <w:t xml:space="preserve"> Product identification and quantification using PIMS allowed channel contributions to be determined for reaction (2).</w:t>
      </w:r>
    </w:p>
    <w:p w14:paraId="1E7411D5" w14:textId="680B1C63" w:rsidR="00E8367B" w:rsidRPr="00E8367B" w:rsidRDefault="00E8367B" w:rsidP="00ED24D0">
      <w:pPr>
        <w:numPr>
          <w:ilvl w:val="0"/>
          <w:numId w:val="3"/>
        </w:numPr>
        <w:tabs>
          <w:tab w:val="left" w:pos="-1440"/>
          <w:tab w:val="left" w:pos="-720"/>
        </w:tabs>
        <w:jc w:val="both"/>
        <w:rPr>
          <w:color w:val="auto"/>
        </w:rPr>
      </w:pPr>
      <w:r>
        <w:t>Flow system involving C</w:t>
      </w:r>
      <w:r>
        <w:rPr>
          <w:vertAlign w:val="subscript"/>
        </w:rPr>
        <w:t>2</w:t>
      </w:r>
      <w:r>
        <w:t>H</w:t>
      </w:r>
      <w:r>
        <w:rPr>
          <w:vertAlign w:val="subscript"/>
        </w:rPr>
        <w:t>4</w:t>
      </w:r>
      <w:r>
        <w:t>-O</w:t>
      </w:r>
      <w:r>
        <w:rPr>
          <w:vertAlign w:val="subscript"/>
        </w:rPr>
        <w:t>3</w:t>
      </w:r>
      <w:r>
        <w:t>-SO</w:t>
      </w:r>
      <w:r>
        <w:rPr>
          <w:vertAlign w:val="subscript"/>
        </w:rPr>
        <w:t>2</w:t>
      </w:r>
      <w:r>
        <w:t>-H</w:t>
      </w:r>
      <w:r>
        <w:rPr>
          <w:vertAlign w:val="subscript"/>
        </w:rPr>
        <w:t>2</w:t>
      </w:r>
      <w:r>
        <w:t>O mixtures in which H</w:t>
      </w:r>
      <w:r>
        <w:rPr>
          <w:vertAlign w:val="subscript"/>
        </w:rPr>
        <w:t>2</w:t>
      </w:r>
      <w:r>
        <w:t>SO</w:t>
      </w:r>
      <w:r>
        <w:rPr>
          <w:vertAlign w:val="subscript"/>
        </w:rPr>
        <w:t>4</w:t>
      </w:r>
      <w:r>
        <w:t xml:space="preserve"> aerosol concentrations were monitored by scattered UV light.  Relative rate coefficients obtained from the dependencies of the aerosol formation on the concentrations of O</w:t>
      </w:r>
      <w:r>
        <w:rPr>
          <w:vertAlign w:val="subscript"/>
        </w:rPr>
        <w:t>3</w:t>
      </w:r>
      <w:r>
        <w:t>, SO</w:t>
      </w:r>
      <w:r>
        <w:rPr>
          <w:vertAlign w:val="subscript"/>
        </w:rPr>
        <w:t>2</w:t>
      </w:r>
      <w:r>
        <w:t>, and H</w:t>
      </w:r>
      <w:r>
        <w:rPr>
          <w:vertAlign w:val="subscript"/>
        </w:rPr>
        <w:t>2</w:t>
      </w:r>
      <w:r>
        <w:t xml:space="preserve">O.  The relative rate constant reported was </w:t>
      </w:r>
      <w:r w:rsidRPr="00E8367B">
        <w:rPr>
          <w:i/>
        </w:rPr>
        <w:t>k</w:t>
      </w:r>
      <w:r>
        <w:rPr>
          <w:vertAlign w:val="subscript"/>
        </w:rPr>
        <w:t>1</w:t>
      </w:r>
      <w:r>
        <w:t>/</w:t>
      </w:r>
      <w:proofErr w:type="gramStart"/>
      <w:r w:rsidRPr="00E8367B">
        <w:rPr>
          <w:i/>
        </w:rPr>
        <w:t>k</w:t>
      </w:r>
      <w:r>
        <w:t>(</w:t>
      </w:r>
      <w:proofErr w:type="gramEnd"/>
      <w:r w:rsidR="009C1B4E">
        <w:t>CH</w:t>
      </w:r>
      <w:r w:rsidR="009C1B4E" w:rsidRPr="009C1B4E">
        <w:rPr>
          <w:vertAlign w:val="subscript"/>
        </w:rPr>
        <w:t>2</w:t>
      </w:r>
      <w:r w:rsidR="009C1B4E">
        <w:t xml:space="preserve">OO + </w:t>
      </w:r>
      <w:r>
        <w:t>SO</w:t>
      </w:r>
      <w:r>
        <w:rPr>
          <w:vertAlign w:val="subscript"/>
        </w:rPr>
        <w:t>2</w:t>
      </w:r>
      <w:r>
        <w:t xml:space="preserve">) = </w:t>
      </w:r>
      <w:r w:rsidR="000A388B">
        <w:t>(</w:t>
      </w:r>
      <w:r>
        <w:t>2.3</w:t>
      </w:r>
      <w:r w:rsidR="000A388B">
        <w:t xml:space="preserve"> ± 1.0)</w:t>
      </w:r>
      <w:r>
        <w:t xml:space="preserve"> </w:t>
      </w:r>
      <w:r w:rsidRPr="008F10DE">
        <w:rPr>
          <w:rFonts w:ascii="Symbol" w:hAnsi="Symbol" w:cs="Symbol"/>
          <w:color w:val="auto"/>
        </w:rPr>
        <w:t></w:t>
      </w:r>
      <w:r>
        <w:t xml:space="preserve"> 10</w:t>
      </w:r>
      <w:r>
        <w:rPr>
          <w:vertAlign w:val="superscript"/>
        </w:rPr>
        <w:t>-4</w:t>
      </w:r>
      <w:r w:rsidR="008708A1">
        <w:t xml:space="preserve">. The value of </w:t>
      </w:r>
      <w:r w:rsidR="008708A1" w:rsidRPr="00F81147">
        <w:rPr>
          <w:i/>
        </w:rPr>
        <w:t>k</w:t>
      </w:r>
      <w:r w:rsidR="008708A1" w:rsidRPr="00F81147">
        <w:rPr>
          <w:vertAlign w:val="subscript"/>
        </w:rPr>
        <w:t>1</w:t>
      </w:r>
      <w:r w:rsidR="008708A1">
        <w:t xml:space="preserve"> tabulated above</w:t>
      </w:r>
      <w:r w:rsidR="00F81147">
        <w:t xml:space="preserve"> is based on </w:t>
      </w:r>
      <w:proofErr w:type="gramStart"/>
      <w:r w:rsidR="00F81147" w:rsidRPr="00E8367B">
        <w:rPr>
          <w:i/>
        </w:rPr>
        <w:t>k</w:t>
      </w:r>
      <w:r w:rsidR="00F81147">
        <w:t>(</w:t>
      </w:r>
      <w:proofErr w:type="gramEnd"/>
      <w:r w:rsidR="00F81147">
        <w:t>CH</w:t>
      </w:r>
      <w:r w:rsidR="00F81147" w:rsidRPr="009C1B4E">
        <w:rPr>
          <w:vertAlign w:val="subscript"/>
        </w:rPr>
        <w:t>2</w:t>
      </w:r>
      <w:r w:rsidR="00F81147">
        <w:t>OO + SO</w:t>
      </w:r>
      <w:r w:rsidR="00F81147">
        <w:rPr>
          <w:vertAlign w:val="subscript"/>
        </w:rPr>
        <w:t>2</w:t>
      </w:r>
      <w:r w:rsidR="00F81147">
        <w:t xml:space="preserve">) = 3.7 </w:t>
      </w:r>
      <w:r w:rsidR="00F81147" w:rsidRPr="008F10DE">
        <w:rPr>
          <w:rFonts w:ascii="Symbol" w:hAnsi="Symbol" w:cs="Symbol"/>
          <w:color w:val="auto"/>
        </w:rPr>
        <w:t></w:t>
      </w:r>
      <w:r w:rsidR="00F81147">
        <w:t xml:space="preserve"> 10</w:t>
      </w:r>
      <w:r w:rsidR="00F81147">
        <w:rPr>
          <w:vertAlign w:val="superscript"/>
        </w:rPr>
        <w:t>-11</w:t>
      </w:r>
      <w:r w:rsidR="00F81147">
        <w:t xml:space="preserve"> cm</w:t>
      </w:r>
      <w:r w:rsidR="00F81147" w:rsidRPr="00F81147">
        <w:rPr>
          <w:vertAlign w:val="superscript"/>
        </w:rPr>
        <w:t>3</w:t>
      </w:r>
      <w:r w:rsidR="00F81147">
        <w:t xml:space="preserve"> molecule</w:t>
      </w:r>
      <w:r w:rsidR="00F81147" w:rsidRPr="00F81147">
        <w:rPr>
          <w:vertAlign w:val="superscript"/>
        </w:rPr>
        <w:t>-1</w:t>
      </w:r>
      <w:r w:rsidR="00F81147">
        <w:t xml:space="preserve"> s</w:t>
      </w:r>
      <w:r w:rsidR="00F81147" w:rsidRPr="00F81147">
        <w:rPr>
          <w:vertAlign w:val="superscript"/>
        </w:rPr>
        <w:t>-1</w:t>
      </w:r>
      <w:r w:rsidR="00F81147">
        <w:t xml:space="preserve"> (IUPAC</w:t>
      </w:r>
      <w:r w:rsidR="00DF18E4">
        <w:t>,</w:t>
      </w:r>
      <w:r w:rsidR="00F81147">
        <w:t xml:space="preserve"> current recommendation).</w:t>
      </w:r>
    </w:p>
    <w:p w14:paraId="65DCDE49" w14:textId="5A42AC5E" w:rsidR="00E8367B" w:rsidRPr="00E8367B" w:rsidRDefault="00E8367B" w:rsidP="00ED24D0">
      <w:pPr>
        <w:numPr>
          <w:ilvl w:val="0"/>
          <w:numId w:val="3"/>
        </w:numPr>
        <w:tabs>
          <w:tab w:val="left" w:pos="-1440"/>
          <w:tab w:val="left" w:pos="-720"/>
        </w:tabs>
        <w:jc w:val="both"/>
        <w:rPr>
          <w:color w:val="auto"/>
        </w:rPr>
      </w:pPr>
      <w:r>
        <w:t>Photolysis of CH</w:t>
      </w:r>
      <w:r>
        <w:rPr>
          <w:vertAlign w:val="subscript"/>
        </w:rPr>
        <w:t>2</w:t>
      </w:r>
      <w:r>
        <w:t>I</w:t>
      </w:r>
      <w:r>
        <w:rPr>
          <w:vertAlign w:val="subscript"/>
        </w:rPr>
        <w:t>2</w:t>
      </w:r>
      <w:r>
        <w:t>-O</w:t>
      </w:r>
      <w:r>
        <w:rPr>
          <w:vertAlign w:val="subscript"/>
        </w:rPr>
        <w:t>2</w:t>
      </w:r>
      <w:r>
        <w:t>-N</w:t>
      </w:r>
      <w:r>
        <w:rPr>
          <w:vertAlign w:val="subscript"/>
        </w:rPr>
        <w:t>2</w:t>
      </w:r>
      <w:r>
        <w:t>-NO</w:t>
      </w:r>
      <w:r>
        <w:rPr>
          <w:vertAlign w:val="subscript"/>
        </w:rPr>
        <w:t>2</w:t>
      </w:r>
      <w:r>
        <w:t xml:space="preserve"> mixtures at 348 nm in continuous flow conditions at 760 Torr pressure. CH</w:t>
      </w:r>
      <w:r>
        <w:rPr>
          <w:vertAlign w:val="subscript"/>
        </w:rPr>
        <w:t>2</w:t>
      </w:r>
      <w:r>
        <w:t>OO produced in this system was allowed to react with NO</w:t>
      </w:r>
      <w:r>
        <w:rPr>
          <w:vertAlign w:val="subscript"/>
        </w:rPr>
        <w:t>2</w:t>
      </w:r>
      <w:r>
        <w:t>. Simultaneous measurement of products NO</w:t>
      </w:r>
      <w:r>
        <w:rPr>
          <w:vertAlign w:val="subscript"/>
        </w:rPr>
        <w:t>3</w:t>
      </w:r>
      <w:r>
        <w:t xml:space="preserve"> and [N</w:t>
      </w:r>
      <w:r>
        <w:rPr>
          <w:vertAlign w:val="subscript"/>
        </w:rPr>
        <w:t>2</w:t>
      </w:r>
      <w:r>
        <w:t>O</w:t>
      </w:r>
      <w:r>
        <w:rPr>
          <w:vertAlign w:val="subscript"/>
        </w:rPr>
        <w:t>5</w:t>
      </w:r>
      <w:r>
        <w:t>+NO</w:t>
      </w:r>
      <w:r>
        <w:rPr>
          <w:vertAlign w:val="subscript"/>
        </w:rPr>
        <w:t>2</w:t>
      </w:r>
      <w:r>
        <w:t>] was made at 663 nm. Analysis of these data as function of [NO</w:t>
      </w:r>
      <w:r>
        <w:rPr>
          <w:vertAlign w:val="subscript"/>
        </w:rPr>
        <w:t>2</w:t>
      </w:r>
      <w:r>
        <w:t xml:space="preserve">] allowed evaluation of the rate constant ratio: </w:t>
      </w:r>
      <w:proofErr w:type="spellStart"/>
      <w:proofErr w:type="gramStart"/>
      <w:r w:rsidRPr="00E8367B">
        <w:rPr>
          <w:i/>
        </w:rPr>
        <w:t>k</w:t>
      </w:r>
      <w:r>
        <w:rPr>
          <w:vertAlign w:val="subscript"/>
        </w:rPr>
        <w:t>d</w:t>
      </w:r>
      <w:proofErr w:type="spellEnd"/>
      <w:r>
        <w:t>(</w:t>
      </w:r>
      <w:proofErr w:type="gramEnd"/>
      <w:r>
        <w:t>CH</w:t>
      </w:r>
      <w:r>
        <w:rPr>
          <w:vertAlign w:val="subscript"/>
        </w:rPr>
        <w:t>2</w:t>
      </w:r>
      <w:r>
        <w:t>OO)/</w:t>
      </w:r>
      <w:r w:rsidRPr="00964758">
        <w:rPr>
          <w:i/>
        </w:rPr>
        <w:t>k</w:t>
      </w:r>
      <w:r>
        <w:t>(CH</w:t>
      </w:r>
      <w:r>
        <w:rPr>
          <w:vertAlign w:val="subscript"/>
        </w:rPr>
        <w:t>2</w:t>
      </w:r>
      <w:r>
        <w:t>OO + NO</w:t>
      </w:r>
      <w:r>
        <w:rPr>
          <w:vertAlign w:val="subscript"/>
        </w:rPr>
        <w:t>2</w:t>
      </w:r>
      <w:r>
        <w:t xml:space="preserve">) = (6.4 ± 1.7) </w:t>
      </w:r>
      <w:r w:rsidRPr="008F10DE">
        <w:rPr>
          <w:rFonts w:ascii="Symbol" w:hAnsi="Symbol" w:cs="Symbol"/>
          <w:color w:val="auto"/>
        </w:rPr>
        <w:t></w:t>
      </w:r>
      <w:r>
        <w:t xml:space="preserve"> 10</w:t>
      </w:r>
      <w:r>
        <w:rPr>
          <w:vertAlign w:val="superscript"/>
        </w:rPr>
        <w:t>12</w:t>
      </w:r>
      <w:r>
        <w:t xml:space="preserve"> molec</w:t>
      </w:r>
      <w:r w:rsidR="00C962E9">
        <w:t xml:space="preserve">ule </w:t>
      </w:r>
      <w:r>
        <w:t>cm</w:t>
      </w:r>
      <w:r>
        <w:rPr>
          <w:vertAlign w:val="superscript"/>
        </w:rPr>
        <w:t>-3</w:t>
      </w:r>
      <w:r>
        <w:t xml:space="preserve">, where </w:t>
      </w:r>
      <w:proofErr w:type="spellStart"/>
      <w:r w:rsidRPr="00E8367B">
        <w:rPr>
          <w:i/>
        </w:rPr>
        <w:t>k</w:t>
      </w:r>
      <w:r>
        <w:rPr>
          <w:vertAlign w:val="subscript"/>
        </w:rPr>
        <w:t>d</w:t>
      </w:r>
      <w:proofErr w:type="spellEnd"/>
      <w:r>
        <w:t xml:space="preserve"> is the total loss rate constant for competing first order processes. Assuming the competing kinetics is dominated by the reaction of </w:t>
      </w:r>
      <w:proofErr w:type="spellStart"/>
      <w:r w:rsidR="009C1B4E">
        <w:t>Criegee</w:t>
      </w:r>
      <w:proofErr w:type="spellEnd"/>
      <w:r w:rsidR="009C1B4E">
        <w:t xml:space="preserve"> </w:t>
      </w:r>
      <w:r w:rsidR="00DF18E4">
        <w:t>intermediates</w:t>
      </w:r>
      <w:r w:rsidR="00DF18E4">
        <w:t xml:space="preserve"> </w:t>
      </w:r>
      <w:r>
        <w:t xml:space="preserve">with water gave the rate constant ratio: </w:t>
      </w:r>
      <w:proofErr w:type="gramStart"/>
      <w:r w:rsidRPr="00275FC8">
        <w:rPr>
          <w:i/>
        </w:rPr>
        <w:t>k</w:t>
      </w:r>
      <w:r>
        <w:t>(</w:t>
      </w:r>
      <w:proofErr w:type="gramEnd"/>
      <w:r>
        <w:t>CH</w:t>
      </w:r>
      <w:r>
        <w:rPr>
          <w:vertAlign w:val="subscript"/>
        </w:rPr>
        <w:t>2</w:t>
      </w:r>
      <w:r>
        <w:t>OO + H</w:t>
      </w:r>
      <w:r>
        <w:rPr>
          <w:vertAlign w:val="subscript"/>
        </w:rPr>
        <w:t>2</w:t>
      </w:r>
      <w:r>
        <w:t>O)/</w:t>
      </w:r>
      <w:r w:rsidRPr="00275FC8">
        <w:rPr>
          <w:i/>
        </w:rPr>
        <w:t>k</w:t>
      </w:r>
      <w:r>
        <w:t>(CH</w:t>
      </w:r>
      <w:r>
        <w:rPr>
          <w:vertAlign w:val="subscript"/>
        </w:rPr>
        <w:t>2</w:t>
      </w:r>
      <w:r>
        <w:t>OO + NO</w:t>
      </w:r>
      <w:r>
        <w:rPr>
          <w:vertAlign w:val="subscript"/>
        </w:rPr>
        <w:t>2</w:t>
      </w:r>
      <w:r>
        <w:t xml:space="preserve">) = </w:t>
      </w:r>
      <w:r w:rsidRPr="00F81147">
        <w:rPr>
          <w:color w:val="auto"/>
        </w:rPr>
        <w:t>3.6</w:t>
      </w:r>
      <w:r>
        <w:t xml:space="preserve"> </w:t>
      </w:r>
      <w:r w:rsidRPr="008F10DE">
        <w:rPr>
          <w:rFonts w:ascii="Symbol" w:hAnsi="Symbol" w:cs="Symbol"/>
          <w:color w:val="auto"/>
        </w:rPr>
        <w:t></w:t>
      </w:r>
      <w:r>
        <w:t xml:space="preserve"> 10</w:t>
      </w:r>
      <w:r>
        <w:rPr>
          <w:vertAlign w:val="superscript"/>
        </w:rPr>
        <w:t xml:space="preserve">-6 </w:t>
      </w:r>
      <w:r>
        <w:t>(error ± 40</w:t>
      </w:r>
      <w:r w:rsidR="00DF18E4">
        <w:t xml:space="preserve"> </w:t>
      </w:r>
      <w:r>
        <w:t>%).</w:t>
      </w:r>
      <w:r w:rsidR="00F81147">
        <w:t xml:space="preserve"> The value of </w:t>
      </w:r>
      <w:r w:rsidR="00F81147" w:rsidRPr="00F81147">
        <w:rPr>
          <w:i/>
        </w:rPr>
        <w:t>k</w:t>
      </w:r>
      <w:r w:rsidR="00F81147" w:rsidRPr="00F81147">
        <w:rPr>
          <w:vertAlign w:val="subscript"/>
        </w:rPr>
        <w:t>1</w:t>
      </w:r>
      <w:r w:rsidR="00F81147">
        <w:t xml:space="preserve"> tabulated above is based on </w:t>
      </w:r>
      <w:proofErr w:type="gramStart"/>
      <w:r w:rsidR="00F81147" w:rsidRPr="00E8367B">
        <w:rPr>
          <w:i/>
        </w:rPr>
        <w:t>k</w:t>
      </w:r>
      <w:r w:rsidR="00F81147">
        <w:t>(</w:t>
      </w:r>
      <w:proofErr w:type="gramEnd"/>
      <w:r w:rsidR="00F81147">
        <w:t>CH</w:t>
      </w:r>
      <w:r w:rsidR="00F81147" w:rsidRPr="009C1B4E">
        <w:rPr>
          <w:vertAlign w:val="subscript"/>
        </w:rPr>
        <w:t>2</w:t>
      </w:r>
      <w:r w:rsidR="00F81147">
        <w:t>OO + NO</w:t>
      </w:r>
      <w:r w:rsidR="00F81147">
        <w:rPr>
          <w:vertAlign w:val="subscript"/>
        </w:rPr>
        <w:t>2</w:t>
      </w:r>
      <w:r w:rsidR="00F81147">
        <w:t xml:space="preserve">) = 3 </w:t>
      </w:r>
      <w:r w:rsidR="00F81147" w:rsidRPr="008F10DE">
        <w:rPr>
          <w:rFonts w:ascii="Symbol" w:hAnsi="Symbol" w:cs="Symbol"/>
          <w:color w:val="auto"/>
        </w:rPr>
        <w:t></w:t>
      </w:r>
      <w:r w:rsidR="00F81147">
        <w:t xml:space="preserve"> 10</w:t>
      </w:r>
      <w:r w:rsidR="00F81147">
        <w:rPr>
          <w:vertAlign w:val="superscript"/>
        </w:rPr>
        <w:t>-12</w:t>
      </w:r>
      <w:r w:rsidR="00F81147">
        <w:t xml:space="preserve"> cm</w:t>
      </w:r>
      <w:r w:rsidR="00F81147" w:rsidRPr="00F81147">
        <w:rPr>
          <w:vertAlign w:val="superscript"/>
        </w:rPr>
        <w:t>3</w:t>
      </w:r>
      <w:r w:rsidR="00F81147">
        <w:t xml:space="preserve"> molecule</w:t>
      </w:r>
      <w:r w:rsidR="00F81147" w:rsidRPr="00F81147">
        <w:rPr>
          <w:vertAlign w:val="superscript"/>
        </w:rPr>
        <w:t>-1</w:t>
      </w:r>
      <w:r w:rsidR="00F81147">
        <w:t xml:space="preserve"> s</w:t>
      </w:r>
      <w:r w:rsidR="00F81147" w:rsidRPr="00F81147">
        <w:rPr>
          <w:vertAlign w:val="superscript"/>
        </w:rPr>
        <w:t>-1</w:t>
      </w:r>
      <w:r w:rsidR="00F81147">
        <w:t xml:space="preserve"> (IUPAC</w:t>
      </w:r>
      <w:r w:rsidR="00DF18E4">
        <w:t>,</w:t>
      </w:r>
      <w:r w:rsidR="00F81147">
        <w:t xml:space="preserve"> current recommendation).</w:t>
      </w:r>
    </w:p>
    <w:p w14:paraId="6548826A" w14:textId="2E1168DF" w:rsidR="00E8367B" w:rsidRPr="00275FC8" w:rsidRDefault="00E8367B" w:rsidP="00ED24D0">
      <w:pPr>
        <w:numPr>
          <w:ilvl w:val="0"/>
          <w:numId w:val="3"/>
        </w:numPr>
        <w:tabs>
          <w:tab w:val="left" w:pos="-1440"/>
          <w:tab w:val="left" w:pos="-720"/>
        </w:tabs>
        <w:jc w:val="both"/>
        <w:rPr>
          <w:color w:val="auto"/>
        </w:rPr>
      </w:pPr>
      <w:r>
        <w:t>CH</w:t>
      </w:r>
      <w:r>
        <w:rPr>
          <w:vertAlign w:val="subscript"/>
        </w:rPr>
        <w:t>2</w:t>
      </w:r>
      <w:r>
        <w:t>OO produced from O</w:t>
      </w:r>
      <w:r>
        <w:rPr>
          <w:vertAlign w:val="subscript"/>
        </w:rPr>
        <w:t xml:space="preserve">3 </w:t>
      </w:r>
      <w:r>
        <w:t>+ C</w:t>
      </w:r>
      <w:r>
        <w:rPr>
          <w:vertAlign w:val="subscript"/>
        </w:rPr>
        <w:t>2</w:t>
      </w:r>
      <w:r>
        <w:t>H</w:t>
      </w:r>
      <w:r>
        <w:rPr>
          <w:vertAlign w:val="subscript"/>
        </w:rPr>
        <w:t>4</w:t>
      </w:r>
      <w:r>
        <w:t xml:space="preserve"> reaction in atmospheric pressure </w:t>
      </w:r>
      <w:r w:rsidR="00314456">
        <w:t>flow tube</w:t>
      </w:r>
      <w:r>
        <w:t xml:space="preserve"> at 293 ± 0.5 K. H</w:t>
      </w:r>
      <w:r>
        <w:rPr>
          <w:vertAlign w:val="subscript"/>
        </w:rPr>
        <w:t>2</w:t>
      </w:r>
      <w:r>
        <w:t>SO</w:t>
      </w:r>
      <w:r>
        <w:rPr>
          <w:vertAlign w:val="subscript"/>
        </w:rPr>
        <w:t>4</w:t>
      </w:r>
      <w:r>
        <w:t xml:space="preserve"> formation from the reaction CH</w:t>
      </w:r>
      <w:r>
        <w:rPr>
          <w:vertAlign w:val="subscript"/>
        </w:rPr>
        <w:t>2</w:t>
      </w:r>
      <w:r>
        <w:t>OO + SO</w:t>
      </w:r>
      <w:r>
        <w:rPr>
          <w:vertAlign w:val="subscript"/>
        </w:rPr>
        <w:t>2</w:t>
      </w:r>
      <w:r>
        <w:t xml:space="preserve"> as a function of RH (= 2% to 50%) for close to atmospheric conditions, was measured using NO</w:t>
      </w:r>
      <w:r>
        <w:rPr>
          <w:vertAlign w:val="subscript"/>
        </w:rPr>
        <w:t>3</w:t>
      </w:r>
      <w:r>
        <w:rPr>
          <w:vertAlign w:val="superscript"/>
        </w:rPr>
        <w:t>-</w:t>
      </w:r>
      <w:r>
        <w:t>-CI-</w:t>
      </w:r>
      <w:proofErr w:type="spellStart"/>
      <w:r>
        <w:t>APi</w:t>
      </w:r>
      <w:proofErr w:type="spellEnd"/>
      <w:r>
        <w:t>-TOF-MS. The uncertainty in the [H</w:t>
      </w:r>
      <w:r>
        <w:rPr>
          <w:vertAlign w:val="subscript"/>
        </w:rPr>
        <w:t>2</w:t>
      </w:r>
      <w:r>
        <w:t>SO</w:t>
      </w:r>
      <w:r>
        <w:rPr>
          <w:vertAlign w:val="subscript"/>
        </w:rPr>
        <w:t>4</w:t>
      </w:r>
      <w:r>
        <w:t xml:space="preserve">] estimated to be ± 45%.  Second-order kinetics with regard to water </w:t>
      </w:r>
      <w:proofErr w:type="spellStart"/>
      <w:r>
        <w:t>vapour</w:t>
      </w:r>
      <w:proofErr w:type="spellEnd"/>
      <w:r>
        <w:t xml:space="preserve"> concentration indicates a preferred reaction of CH</w:t>
      </w:r>
      <w:r>
        <w:rPr>
          <w:vertAlign w:val="subscript"/>
        </w:rPr>
        <w:t>2</w:t>
      </w:r>
      <w:r>
        <w:t xml:space="preserve">OO with the water dimer. The relative rate coefficient </w:t>
      </w:r>
      <w:r w:rsidRPr="00F964CF">
        <w:rPr>
          <w:i/>
        </w:rPr>
        <w:t>k</w:t>
      </w:r>
      <w:r>
        <w:rPr>
          <w:vertAlign w:val="subscript"/>
        </w:rPr>
        <w:t>2</w:t>
      </w:r>
      <w:r>
        <w:t>/</w:t>
      </w:r>
      <w:proofErr w:type="gramStart"/>
      <w:r w:rsidR="00F964CF" w:rsidRPr="00275FC8">
        <w:rPr>
          <w:i/>
        </w:rPr>
        <w:t>k</w:t>
      </w:r>
      <w:r w:rsidR="00F964CF">
        <w:t>(</w:t>
      </w:r>
      <w:proofErr w:type="gramEnd"/>
      <w:r w:rsidR="00F964CF">
        <w:t>CH</w:t>
      </w:r>
      <w:r w:rsidR="00F964CF">
        <w:rPr>
          <w:vertAlign w:val="subscript"/>
        </w:rPr>
        <w:t>2</w:t>
      </w:r>
      <w:r w:rsidR="00F964CF">
        <w:t>OO + SO</w:t>
      </w:r>
      <w:r w:rsidR="00F964CF">
        <w:rPr>
          <w:vertAlign w:val="subscript"/>
        </w:rPr>
        <w:t>2</w:t>
      </w:r>
      <w:r w:rsidR="00F964CF">
        <w:t>)</w:t>
      </w:r>
      <w:r>
        <w:t xml:space="preserve"> = 0.29 ± 0.01, based on </w:t>
      </w:r>
      <w:proofErr w:type="spellStart"/>
      <w:r>
        <w:rPr>
          <w:i/>
        </w:rPr>
        <w:t>K</w:t>
      </w:r>
      <w:r>
        <w:rPr>
          <w:vertAlign w:val="subscript"/>
        </w:rPr>
        <w:t>p</w:t>
      </w:r>
      <w:proofErr w:type="spellEnd"/>
      <w:r>
        <w:t xml:space="preserve"> calculated using the </w:t>
      </w:r>
      <w:proofErr w:type="spellStart"/>
      <w:r>
        <w:t>parameterisation</w:t>
      </w:r>
      <w:proofErr w:type="spellEnd"/>
      <w:r>
        <w:t xml:space="preserve"> of </w:t>
      </w:r>
      <w:proofErr w:type="spellStart"/>
      <w:r>
        <w:t>Scribano</w:t>
      </w:r>
      <w:proofErr w:type="spellEnd"/>
      <w:r>
        <w:t xml:space="preserve"> et al. (2006). Measurements at the lowest relative humidity (RH ~2%) yield an upper limit of the rate coefficient ratio </w:t>
      </w:r>
      <w:proofErr w:type="spellStart"/>
      <w:r w:rsidRPr="00E8367B">
        <w:rPr>
          <w:i/>
        </w:rPr>
        <w:t>k</w:t>
      </w:r>
      <w:r>
        <w:rPr>
          <w:vertAlign w:val="subscript"/>
        </w:rPr>
        <w:t>uni</w:t>
      </w:r>
      <w:proofErr w:type="spellEnd"/>
      <w:r>
        <w:t>/</w:t>
      </w:r>
      <w:proofErr w:type="gramStart"/>
      <w:r w:rsidR="00F964CF" w:rsidRPr="00275FC8">
        <w:rPr>
          <w:i/>
        </w:rPr>
        <w:t>k</w:t>
      </w:r>
      <w:r w:rsidR="00F964CF">
        <w:t>(</w:t>
      </w:r>
      <w:proofErr w:type="gramEnd"/>
      <w:r w:rsidR="00F964CF">
        <w:t>CH</w:t>
      </w:r>
      <w:r w:rsidR="00F964CF">
        <w:rPr>
          <w:vertAlign w:val="subscript"/>
        </w:rPr>
        <w:t>2</w:t>
      </w:r>
      <w:r w:rsidR="00F964CF">
        <w:t>OO + SO</w:t>
      </w:r>
      <w:r w:rsidR="00F964CF">
        <w:rPr>
          <w:vertAlign w:val="subscript"/>
        </w:rPr>
        <w:t>2</w:t>
      </w:r>
      <w:r w:rsidR="00F964CF">
        <w:t>)</w:t>
      </w:r>
      <w:r>
        <w:t xml:space="preserve"> = 2.4 </w:t>
      </w:r>
      <w:r w:rsidRPr="008F10DE">
        <w:rPr>
          <w:rFonts w:ascii="Symbol" w:hAnsi="Symbol" w:cs="Symbol"/>
          <w:color w:val="auto"/>
        </w:rPr>
        <w:t></w:t>
      </w:r>
      <w:r>
        <w:t xml:space="preserve"> 10</w:t>
      </w:r>
      <w:r>
        <w:rPr>
          <w:vertAlign w:val="superscript"/>
        </w:rPr>
        <w:t>11</w:t>
      </w:r>
      <w:r>
        <w:t xml:space="preserve"> molecule cm</w:t>
      </w:r>
      <w:r>
        <w:rPr>
          <w:vertAlign w:val="superscript"/>
        </w:rPr>
        <w:t>-3</w:t>
      </w:r>
      <w:r>
        <w:t xml:space="preserve">, where </w:t>
      </w:r>
      <w:proofErr w:type="spellStart"/>
      <w:r w:rsidRPr="004E6E3F">
        <w:rPr>
          <w:i/>
          <w:iCs/>
        </w:rPr>
        <w:t>k</w:t>
      </w:r>
      <w:r>
        <w:rPr>
          <w:vertAlign w:val="subscript"/>
        </w:rPr>
        <w:t>uni</w:t>
      </w:r>
      <w:proofErr w:type="spellEnd"/>
      <w:r>
        <w:t xml:space="preserve"> is the total first order loss coefficient for CH</w:t>
      </w:r>
      <w:r>
        <w:rPr>
          <w:vertAlign w:val="subscript"/>
        </w:rPr>
        <w:t>2</w:t>
      </w:r>
      <w:r>
        <w:t xml:space="preserve">OO in the absence of water dimer. Combining </w:t>
      </w:r>
      <w:r>
        <w:rPr>
          <w:i/>
        </w:rPr>
        <w:t>k</w:t>
      </w:r>
      <w:r>
        <w:rPr>
          <w:vertAlign w:val="subscript"/>
        </w:rPr>
        <w:t>2</w:t>
      </w:r>
      <w:r>
        <w:t>/</w:t>
      </w:r>
      <w:proofErr w:type="gramStart"/>
      <w:r w:rsidR="00F964CF" w:rsidRPr="00275FC8">
        <w:rPr>
          <w:i/>
        </w:rPr>
        <w:t>k</w:t>
      </w:r>
      <w:r w:rsidR="00F964CF">
        <w:t>(</w:t>
      </w:r>
      <w:proofErr w:type="gramEnd"/>
      <w:r w:rsidR="00F964CF">
        <w:t>CH</w:t>
      </w:r>
      <w:r w:rsidR="00F964CF">
        <w:rPr>
          <w:vertAlign w:val="subscript"/>
        </w:rPr>
        <w:t>2</w:t>
      </w:r>
      <w:r w:rsidR="00F964CF">
        <w:t>OO + SO</w:t>
      </w:r>
      <w:r w:rsidR="00F964CF">
        <w:rPr>
          <w:vertAlign w:val="subscript"/>
        </w:rPr>
        <w:t>2</w:t>
      </w:r>
      <w:r w:rsidR="00F964CF">
        <w:t>)</w:t>
      </w:r>
      <w:r>
        <w:t xml:space="preserve"> = 0.29 ± 0.01 with </w:t>
      </w:r>
      <w:r w:rsidR="00F964CF" w:rsidRPr="00275FC8">
        <w:rPr>
          <w:i/>
        </w:rPr>
        <w:t>k</w:t>
      </w:r>
      <w:r w:rsidR="00F964CF">
        <w:t>(CH</w:t>
      </w:r>
      <w:r w:rsidR="00F964CF">
        <w:rPr>
          <w:vertAlign w:val="subscript"/>
        </w:rPr>
        <w:t>2</w:t>
      </w:r>
      <w:r w:rsidR="00F964CF">
        <w:t>OO + SO</w:t>
      </w:r>
      <w:r w:rsidR="00F964CF">
        <w:rPr>
          <w:vertAlign w:val="subscript"/>
        </w:rPr>
        <w:t>2</w:t>
      </w:r>
      <w:r w:rsidR="00F964CF">
        <w:t>)</w:t>
      </w:r>
      <w:r>
        <w:t xml:space="preserve"> = 3.7 </w:t>
      </w:r>
      <w:r w:rsidRPr="008F10DE">
        <w:rPr>
          <w:rFonts w:ascii="Symbol" w:hAnsi="Symbol" w:cs="Symbol"/>
          <w:color w:val="auto"/>
        </w:rPr>
        <w:t></w:t>
      </w:r>
      <w:r>
        <w:t xml:space="preserve"> 10</w:t>
      </w:r>
      <w:r>
        <w:rPr>
          <w:vertAlign w:val="superscript"/>
        </w:rPr>
        <w:t>-11</w:t>
      </w:r>
      <w:r>
        <w:t xml:space="preserve"> (IUPAC, </w:t>
      </w:r>
      <w:r w:rsidR="00F964CF">
        <w:t>current recommendation</w:t>
      </w:r>
      <w:r>
        <w:t xml:space="preserve">) gives the tabulated value of </w:t>
      </w:r>
      <w:r>
        <w:rPr>
          <w:i/>
        </w:rPr>
        <w:t>k</w:t>
      </w:r>
      <w:r>
        <w:rPr>
          <w:vertAlign w:val="subscript"/>
        </w:rPr>
        <w:t>2</w:t>
      </w:r>
      <w:r>
        <w:t xml:space="preserve"> above.</w:t>
      </w:r>
    </w:p>
    <w:p w14:paraId="29C00BEE" w14:textId="6CF0F65F" w:rsidR="00275FC8" w:rsidRPr="00C6539A" w:rsidRDefault="00275FC8" w:rsidP="00ED24D0">
      <w:pPr>
        <w:numPr>
          <w:ilvl w:val="0"/>
          <w:numId w:val="3"/>
        </w:numPr>
        <w:tabs>
          <w:tab w:val="left" w:pos="-1440"/>
          <w:tab w:val="left" w:pos="-720"/>
        </w:tabs>
        <w:jc w:val="both"/>
        <w:rPr>
          <w:color w:val="auto"/>
        </w:rPr>
      </w:pPr>
      <w:r>
        <w:t>The removal of SO</w:t>
      </w:r>
      <w:r>
        <w:rPr>
          <w:vertAlign w:val="subscript"/>
        </w:rPr>
        <w:t>2</w:t>
      </w:r>
      <w:r>
        <w:t xml:space="preserve"> in the presence of ethene-ozone systems was measured as a function of humidity in EUPHORE simulation chamber, under atmospheric boundary layer conditions. SO</w:t>
      </w:r>
      <w:r>
        <w:rPr>
          <w:vertAlign w:val="subscript"/>
        </w:rPr>
        <w:t>2</w:t>
      </w:r>
      <w:r>
        <w:t xml:space="preserve"> and O</w:t>
      </w:r>
      <w:r>
        <w:rPr>
          <w:vertAlign w:val="subscript"/>
        </w:rPr>
        <w:t>3</w:t>
      </w:r>
      <w:r>
        <w:t xml:space="preserve"> abundance were measured using conventional fluorescence and UV absorption monitors, respectively; alkene abundance was determined via FTIR spectroscopy. SO</w:t>
      </w:r>
      <w:r>
        <w:rPr>
          <w:vertAlign w:val="subscript"/>
        </w:rPr>
        <w:t>2</w:t>
      </w:r>
      <w:r>
        <w:t xml:space="preserve"> removal decreased with increasing relative humidity (1.5 – 21%) confirming a significant reaction for CH</w:t>
      </w:r>
      <w:r>
        <w:rPr>
          <w:vertAlign w:val="subscript"/>
        </w:rPr>
        <w:t>2</w:t>
      </w:r>
      <w:r>
        <w:t>OO with H</w:t>
      </w:r>
      <w:r>
        <w:rPr>
          <w:vertAlign w:val="subscript"/>
        </w:rPr>
        <w:t>2</w:t>
      </w:r>
      <w:r>
        <w:t>O. The observed SO</w:t>
      </w:r>
      <w:r>
        <w:rPr>
          <w:vertAlign w:val="subscript"/>
        </w:rPr>
        <w:t>2</w:t>
      </w:r>
      <w:r>
        <w:t xml:space="preserve"> removal kinetics are consistent with </w:t>
      </w:r>
      <w:r w:rsidR="006476E1">
        <w:t xml:space="preserve">the </w:t>
      </w:r>
      <w:r>
        <w:t xml:space="preserve">relative rate constant, </w:t>
      </w:r>
      <w:r>
        <w:rPr>
          <w:i/>
        </w:rPr>
        <w:t>k</w:t>
      </w:r>
      <w:r w:rsidR="006476E1" w:rsidRPr="006476E1">
        <w:rPr>
          <w:vertAlign w:val="subscript"/>
        </w:rPr>
        <w:t>1</w:t>
      </w:r>
      <w:r>
        <w:t>/</w:t>
      </w:r>
      <w:proofErr w:type="gramStart"/>
      <w:r>
        <w:rPr>
          <w:i/>
        </w:rPr>
        <w:t>k</w:t>
      </w:r>
      <w:r>
        <w:t>(</w:t>
      </w:r>
      <w:proofErr w:type="gramEnd"/>
      <w:r>
        <w:t>CH</w:t>
      </w:r>
      <w:r>
        <w:rPr>
          <w:vertAlign w:val="subscript"/>
        </w:rPr>
        <w:t>2</w:t>
      </w:r>
      <w:r>
        <w:t>OO + SO</w:t>
      </w:r>
      <w:r>
        <w:rPr>
          <w:vertAlign w:val="subscript"/>
        </w:rPr>
        <w:t>2</w:t>
      </w:r>
      <w:r>
        <w:t xml:space="preserve">) = (3.3 ± 1.1) </w:t>
      </w:r>
      <w:r w:rsidRPr="008F10DE">
        <w:rPr>
          <w:rFonts w:ascii="Symbol" w:hAnsi="Symbol" w:cs="Symbol"/>
          <w:color w:val="auto"/>
        </w:rPr>
        <w:t></w:t>
      </w:r>
      <w:r>
        <w:t xml:space="preserve"> 10</w:t>
      </w:r>
      <w:r>
        <w:rPr>
          <w:vertAlign w:val="superscript"/>
        </w:rPr>
        <w:t>-5</w:t>
      </w:r>
      <w:r w:rsidR="006476E1">
        <w:t xml:space="preserve">, if removal is due solely to reaction (1). An expanded analysis considering removal by both reactions (1) and (2) yielded </w:t>
      </w:r>
      <w:r w:rsidR="006476E1">
        <w:rPr>
          <w:i/>
        </w:rPr>
        <w:t>k</w:t>
      </w:r>
      <w:r w:rsidR="006476E1" w:rsidRPr="006476E1">
        <w:rPr>
          <w:vertAlign w:val="subscript"/>
        </w:rPr>
        <w:t>1</w:t>
      </w:r>
      <w:r w:rsidR="006476E1">
        <w:t>/</w:t>
      </w:r>
      <w:proofErr w:type="gramStart"/>
      <w:r w:rsidR="006476E1">
        <w:rPr>
          <w:i/>
        </w:rPr>
        <w:t>k</w:t>
      </w:r>
      <w:r w:rsidR="006476E1">
        <w:t>(</w:t>
      </w:r>
      <w:proofErr w:type="gramEnd"/>
      <w:r w:rsidR="006476E1">
        <w:t>CH</w:t>
      </w:r>
      <w:r w:rsidR="006476E1">
        <w:rPr>
          <w:vertAlign w:val="subscript"/>
        </w:rPr>
        <w:t>2</w:t>
      </w:r>
      <w:r w:rsidR="006476E1">
        <w:t>OO + SO</w:t>
      </w:r>
      <w:r w:rsidR="006476E1">
        <w:rPr>
          <w:vertAlign w:val="subscript"/>
        </w:rPr>
        <w:t>2</w:t>
      </w:r>
      <w:r w:rsidR="006476E1">
        <w:t xml:space="preserve">) = (2.5 ± 0.7) </w:t>
      </w:r>
      <w:r w:rsidR="006476E1" w:rsidRPr="008F10DE">
        <w:rPr>
          <w:rFonts w:ascii="Symbol" w:hAnsi="Symbol" w:cs="Symbol"/>
          <w:color w:val="auto"/>
        </w:rPr>
        <w:t></w:t>
      </w:r>
      <w:r w:rsidR="006476E1">
        <w:t xml:space="preserve"> 10</w:t>
      </w:r>
      <w:r w:rsidR="006476E1">
        <w:rPr>
          <w:vertAlign w:val="superscript"/>
        </w:rPr>
        <w:t>-5</w:t>
      </w:r>
      <w:r>
        <w:t xml:space="preserve"> </w:t>
      </w:r>
      <w:r w:rsidR="006476E1">
        <w:t xml:space="preserve">and </w:t>
      </w:r>
      <w:r w:rsidR="006476E1">
        <w:rPr>
          <w:i/>
        </w:rPr>
        <w:t>k</w:t>
      </w:r>
      <w:r w:rsidR="006476E1">
        <w:rPr>
          <w:vertAlign w:val="subscript"/>
        </w:rPr>
        <w:t>2</w:t>
      </w:r>
      <w:r w:rsidR="006476E1">
        <w:t>/</w:t>
      </w:r>
      <w:r w:rsidR="006476E1">
        <w:rPr>
          <w:i/>
        </w:rPr>
        <w:t>k</w:t>
      </w:r>
      <w:r w:rsidR="006476E1">
        <w:t>(CH</w:t>
      </w:r>
      <w:r w:rsidR="006476E1">
        <w:rPr>
          <w:vertAlign w:val="subscript"/>
        </w:rPr>
        <w:t>2</w:t>
      </w:r>
      <w:r w:rsidR="006476E1">
        <w:t>OO + SO</w:t>
      </w:r>
      <w:r w:rsidR="006476E1">
        <w:rPr>
          <w:vertAlign w:val="subscript"/>
        </w:rPr>
        <w:t>2</w:t>
      </w:r>
      <w:r w:rsidR="006476E1">
        <w:t xml:space="preserve">) = (1.4 ± 1.8) </w:t>
      </w:r>
      <w:r w:rsidR="006476E1" w:rsidRPr="008F10DE">
        <w:rPr>
          <w:rFonts w:ascii="Symbol" w:hAnsi="Symbol" w:cs="Symbol"/>
          <w:color w:val="auto"/>
        </w:rPr>
        <w:t></w:t>
      </w:r>
      <w:r w:rsidR="006476E1">
        <w:t xml:space="preserve"> 10</w:t>
      </w:r>
      <w:r w:rsidR="006476E1">
        <w:rPr>
          <w:vertAlign w:val="superscript"/>
        </w:rPr>
        <w:t>-2</w:t>
      </w:r>
      <w:r w:rsidR="006476E1">
        <w:t xml:space="preserve">. The values of </w:t>
      </w:r>
      <w:r w:rsidR="006476E1" w:rsidRPr="00F81147">
        <w:rPr>
          <w:i/>
        </w:rPr>
        <w:t>k</w:t>
      </w:r>
      <w:r w:rsidR="006476E1" w:rsidRPr="00F81147">
        <w:rPr>
          <w:vertAlign w:val="subscript"/>
        </w:rPr>
        <w:t>1</w:t>
      </w:r>
      <w:r w:rsidR="006476E1">
        <w:t xml:space="preserve"> and </w:t>
      </w:r>
      <w:r w:rsidR="006476E1" w:rsidRPr="006476E1">
        <w:rPr>
          <w:i/>
        </w:rPr>
        <w:t>k</w:t>
      </w:r>
      <w:r w:rsidR="006476E1" w:rsidRPr="006476E1">
        <w:rPr>
          <w:vertAlign w:val="subscript"/>
        </w:rPr>
        <w:t>2</w:t>
      </w:r>
      <w:r w:rsidR="006476E1">
        <w:t xml:space="preserve"> tabulated above are based on </w:t>
      </w:r>
      <w:proofErr w:type="gramStart"/>
      <w:r w:rsidR="006476E1" w:rsidRPr="00E8367B">
        <w:rPr>
          <w:i/>
        </w:rPr>
        <w:t>k</w:t>
      </w:r>
      <w:r w:rsidR="006476E1">
        <w:t>(</w:t>
      </w:r>
      <w:proofErr w:type="gramEnd"/>
      <w:r w:rsidR="006476E1">
        <w:t>CH</w:t>
      </w:r>
      <w:r w:rsidR="006476E1" w:rsidRPr="009C1B4E">
        <w:rPr>
          <w:vertAlign w:val="subscript"/>
        </w:rPr>
        <w:t>2</w:t>
      </w:r>
      <w:r w:rsidR="006476E1">
        <w:t>OO + SO</w:t>
      </w:r>
      <w:r w:rsidR="006476E1">
        <w:rPr>
          <w:vertAlign w:val="subscript"/>
        </w:rPr>
        <w:t>2</w:t>
      </w:r>
      <w:r w:rsidR="006476E1">
        <w:t xml:space="preserve">) = 3.7 </w:t>
      </w:r>
      <w:r w:rsidR="006476E1" w:rsidRPr="008F10DE">
        <w:rPr>
          <w:rFonts w:ascii="Symbol" w:hAnsi="Symbol" w:cs="Symbol"/>
          <w:color w:val="auto"/>
        </w:rPr>
        <w:t></w:t>
      </w:r>
      <w:r w:rsidR="006476E1">
        <w:t xml:space="preserve"> 10</w:t>
      </w:r>
      <w:r w:rsidR="006476E1">
        <w:rPr>
          <w:vertAlign w:val="superscript"/>
        </w:rPr>
        <w:t>-11</w:t>
      </w:r>
      <w:r w:rsidR="006476E1">
        <w:t xml:space="preserve"> cm</w:t>
      </w:r>
      <w:r w:rsidR="006476E1" w:rsidRPr="00F81147">
        <w:rPr>
          <w:vertAlign w:val="superscript"/>
        </w:rPr>
        <w:t>3</w:t>
      </w:r>
      <w:r w:rsidR="006476E1">
        <w:t xml:space="preserve"> molecule</w:t>
      </w:r>
      <w:r w:rsidR="006476E1" w:rsidRPr="00F81147">
        <w:rPr>
          <w:vertAlign w:val="superscript"/>
        </w:rPr>
        <w:t>-1</w:t>
      </w:r>
      <w:r w:rsidR="006476E1">
        <w:t xml:space="preserve"> s</w:t>
      </w:r>
      <w:r w:rsidR="006476E1" w:rsidRPr="00F81147">
        <w:rPr>
          <w:vertAlign w:val="superscript"/>
        </w:rPr>
        <w:t>-1</w:t>
      </w:r>
      <w:r w:rsidR="006476E1">
        <w:t xml:space="preserve"> (IUPAC</w:t>
      </w:r>
      <w:r w:rsidR="00DF18E4">
        <w:t>,</w:t>
      </w:r>
      <w:r w:rsidR="006476E1">
        <w:t xml:space="preserve"> current recommendation).</w:t>
      </w:r>
    </w:p>
    <w:p w14:paraId="479660C2" w14:textId="77777777" w:rsidR="00ED24D0" w:rsidRDefault="00C6539A" w:rsidP="00097E41">
      <w:pPr>
        <w:numPr>
          <w:ilvl w:val="0"/>
          <w:numId w:val="3"/>
        </w:numPr>
        <w:tabs>
          <w:tab w:val="left" w:pos="-1440"/>
          <w:tab w:val="left" w:pos="-720"/>
        </w:tabs>
        <w:jc w:val="both"/>
      </w:pPr>
      <w:r>
        <w:t xml:space="preserve">Products formed from the </w:t>
      </w:r>
      <w:proofErr w:type="spellStart"/>
      <w:r>
        <w:t>ozonolysis</w:t>
      </w:r>
      <w:proofErr w:type="spellEnd"/>
      <w:r>
        <w:t xml:space="preserve"> of isoprene investigated in the</w:t>
      </w:r>
      <w:r w:rsidR="000121E1">
        <w:t xml:space="preserve"> multi-instrumented</w:t>
      </w:r>
      <w:r>
        <w:t xml:space="preserve"> Caltech dual 24m</w:t>
      </w:r>
      <w:r w:rsidRPr="00A411B5">
        <w:rPr>
          <w:vertAlign w:val="superscript"/>
        </w:rPr>
        <w:t>3</w:t>
      </w:r>
      <w:r>
        <w:t xml:space="preserve"> </w:t>
      </w:r>
      <w:proofErr w:type="spellStart"/>
      <w:r>
        <w:t>teflon</w:t>
      </w:r>
      <w:proofErr w:type="spellEnd"/>
      <w:r>
        <w:t xml:space="preserve"> chamber</w:t>
      </w:r>
      <w:r w:rsidR="00F37838">
        <w:t xml:space="preserve"> at atmospheric pressure</w:t>
      </w:r>
      <w:r>
        <w:t>. CH</w:t>
      </w:r>
      <w:r w:rsidRPr="00A411B5">
        <w:rPr>
          <w:vertAlign w:val="subscript"/>
        </w:rPr>
        <w:t>2</w:t>
      </w:r>
      <w:r>
        <w:t xml:space="preserve">OO reported to dominate the population of stabilized </w:t>
      </w:r>
      <w:proofErr w:type="spellStart"/>
      <w:r>
        <w:t>Criegee</w:t>
      </w:r>
      <w:proofErr w:type="spellEnd"/>
      <w:r>
        <w:t xml:space="preserve"> intermediates formed, and their bimolecular reactivity. </w:t>
      </w:r>
      <w:r w:rsidR="00FB4D3C">
        <w:t>HOCH</w:t>
      </w:r>
      <w:r w:rsidR="00FB4D3C" w:rsidRPr="00A411B5">
        <w:rPr>
          <w:vertAlign w:val="subscript"/>
        </w:rPr>
        <w:t>2</w:t>
      </w:r>
      <w:r w:rsidR="00FB4D3C">
        <w:t>OOH, HC(O)OH and H</w:t>
      </w:r>
      <w:r w:rsidR="00FB4D3C" w:rsidRPr="00A411B5">
        <w:rPr>
          <w:vertAlign w:val="subscript"/>
        </w:rPr>
        <w:t>2</w:t>
      </w:r>
      <w:r w:rsidR="00FB4D3C">
        <w:t>O</w:t>
      </w:r>
      <w:r w:rsidR="00FB4D3C" w:rsidRPr="00A411B5">
        <w:rPr>
          <w:vertAlign w:val="subscript"/>
        </w:rPr>
        <w:t>2</w:t>
      </w:r>
      <w:r w:rsidR="00FB4D3C">
        <w:t xml:space="preserve"> were quantified with a triple-quadrupole chemical ionization mass spectrometer (CIMS) using CF</w:t>
      </w:r>
      <w:r w:rsidR="00FB4D3C" w:rsidRPr="00A411B5">
        <w:rPr>
          <w:vertAlign w:val="subscript"/>
        </w:rPr>
        <w:t>3</w:t>
      </w:r>
      <w:r w:rsidR="00FB4D3C">
        <w:t>O</w:t>
      </w:r>
      <w:r w:rsidR="00FB4D3C" w:rsidRPr="00A411B5">
        <w:rPr>
          <w:vertAlign w:val="superscript"/>
        </w:rPr>
        <w:t>-</w:t>
      </w:r>
      <w:r w:rsidR="00FB4D3C">
        <w:t xml:space="preserve"> as an ionization reagent</w:t>
      </w:r>
      <w:r w:rsidR="000121E1">
        <w:t>.</w:t>
      </w:r>
      <w:r w:rsidR="00FB4D3C">
        <w:t xml:space="preserve"> </w:t>
      </w:r>
      <w:r>
        <w:t>The product channel contributions for reactions (1) and (2) were determined from from the observed product distribution, and its dependence on [H</w:t>
      </w:r>
      <w:r w:rsidRPr="00A411B5">
        <w:rPr>
          <w:vertAlign w:val="subscript"/>
        </w:rPr>
        <w:t>2</w:t>
      </w:r>
      <w:r>
        <w:t xml:space="preserve">O], </w:t>
      </w:r>
      <w:r w:rsidR="00FB4D3C">
        <w:t xml:space="preserve">by </w:t>
      </w:r>
      <w:r w:rsidR="00FB4D3C">
        <w:lastRenderedPageBreak/>
        <w:t>simulations of the system using</w:t>
      </w:r>
      <w:r>
        <w:t xml:space="preserve"> </w:t>
      </w:r>
      <w:r w:rsidR="00FB4D3C">
        <w:t xml:space="preserve">a detailed chemical mechanism, with </w:t>
      </w:r>
      <w:r w:rsidR="00FB4D3C" w:rsidRPr="00A411B5">
        <w:rPr>
          <w:i/>
        </w:rPr>
        <w:t>k</w:t>
      </w:r>
      <w:r w:rsidR="00FB4D3C" w:rsidRPr="00A411B5">
        <w:rPr>
          <w:vertAlign w:val="subscript"/>
        </w:rPr>
        <w:t>1</w:t>
      </w:r>
      <w:r w:rsidR="00FB4D3C">
        <w:t xml:space="preserve"> = 9.0 × 10</w:t>
      </w:r>
      <w:r w:rsidR="00FB4D3C" w:rsidRPr="00A411B5">
        <w:rPr>
          <w:vertAlign w:val="superscript"/>
        </w:rPr>
        <w:t>-16</w:t>
      </w:r>
      <w:r w:rsidR="00FB4D3C">
        <w:t xml:space="preserve"> cm</w:t>
      </w:r>
      <w:r w:rsidR="00FB4D3C" w:rsidRPr="00A411B5">
        <w:rPr>
          <w:vertAlign w:val="superscript"/>
        </w:rPr>
        <w:t>3</w:t>
      </w:r>
      <w:r w:rsidR="00FB4D3C">
        <w:t xml:space="preserve"> molecule</w:t>
      </w:r>
      <w:r w:rsidR="00FB4D3C" w:rsidRPr="00A411B5">
        <w:rPr>
          <w:vertAlign w:val="superscript"/>
        </w:rPr>
        <w:t>-1</w:t>
      </w:r>
      <w:r w:rsidR="00FB4D3C">
        <w:t xml:space="preserve"> s</w:t>
      </w:r>
      <w:r w:rsidR="00FB4D3C" w:rsidRPr="00A411B5">
        <w:rPr>
          <w:vertAlign w:val="superscript"/>
        </w:rPr>
        <w:t>-1</w:t>
      </w:r>
      <w:r w:rsidR="00FB4D3C">
        <w:t xml:space="preserve"> and </w:t>
      </w:r>
      <w:r w:rsidR="00FB4D3C" w:rsidRPr="00A411B5">
        <w:rPr>
          <w:i/>
        </w:rPr>
        <w:t>k</w:t>
      </w:r>
      <w:r w:rsidR="00FB4D3C" w:rsidRPr="00A411B5">
        <w:rPr>
          <w:vertAlign w:val="subscript"/>
        </w:rPr>
        <w:t>2</w:t>
      </w:r>
      <w:r w:rsidR="00FB4D3C">
        <w:t xml:space="preserve"> = 8.0 × 10</w:t>
      </w:r>
      <w:r w:rsidR="00FB4D3C" w:rsidRPr="00A411B5">
        <w:rPr>
          <w:vertAlign w:val="superscript"/>
        </w:rPr>
        <w:t>-13</w:t>
      </w:r>
      <w:r w:rsidR="00FB4D3C">
        <w:t xml:space="preserve"> cm</w:t>
      </w:r>
      <w:r w:rsidR="00FB4D3C" w:rsidRPr="00A411B5">
        <w:rPr>
          <w:vertAlign w:val="superscript"/>
        </w:rPr>
        <w:t>3</w:t>
      </w:r>
      <w:r w:rsidR="00FB4D3C">
        <w:t xml:space="preserve"> molecule</w:t>
      </w:r>
      <w:r w:rsidR="00FB4D3C" w:rsidRPr="00A411B5">
        <w:rPr>
          <w:vertAlign w:val="superscript"/>
        </w:rPr>
        <w:t>-1</w:t>
      </w:r>
      <w:r w:rsidR="00FB4D3C">
        <w:t xml:space="preserve"> s</w:t>
      </w:r>
      <w:r w:rsidR="00FB4D3C" w:rsidRPr="00A411B5">
        <w:rPr>
          <w:vertAlign w:val="superscript"/>
        </w:rPr>
        <w:t>-1</w:t>
      </w:r>
      <w:r w:rsidR="00FB4D3C">
        <w:t>.</w:t>
      </w:r>
    </w:p>
    <w:p w14:paraId="6F0ACE43" w14:textId="77777777" w:rsidR="00CF28E5" w:rsidRDefault="00CF28E5">
      <w:pPr>
        <w:tabs>
          <w:tab w:val="left" w:pos="-1440"/>
          <w:tab w:val="left" w:pos="-720"/>
          <w:tab w:val="left" w:pos="444"/>
        </w:tabs>
        <w:jc w:val="both"/>
      </w:pPr>
    </w:p>
    <w:p w14:paraId="0C97CDBD" w14:textId="77777777" w:rsidR="00ED24D0" w:rsidRPr="00275FC8" w:rsidRDefault="00ED24D0" w:rsidP="00275FC8">
      <w:pPr>
        <w:jc w:val="center"/>
        <w:rPr>
          <w:b/>
        </w:rPr>
      </w:pPr>
      <w:r w:rsidRPr="00275FC8">
        <w:rPr>
          <w:b/>
        </w:rPr>
        <w:t>Preferred Values</w:t>
      </w:r>
    </w:p>
    <w:p w14:paraId="36BC86A1" w14:textId="77777777" w:rsidR="00ED24D0" w:rsidRPr="001D3940" w:rsidRDefault="00ED24D0" w:rsidP="00ED24D0">
      <w:pPr>
        <w:tabs>
          <w:tab w:val="left" w:pos="-1440"/>
          <w:tab w:val="left" w:pos="-720"/>
          <w:tab w:val="left" w:pos="444"/>
        </w:tabs>
        <w:jc w:val="both"/>
        <w:rPr>
          <w:color w:val="auto"/>
        </w:rPr>
      </w:pPr>
    </w:p>
    <w:tbl>
      <w:tblPr>
        <w:tblW w:w="0" w:type="auto"/>
        <w:tblInd w:w="454" w:type="dxa"/>
        <w:tblLayout w:type="fixed"/>
        <w:tblLook w:val="0000" w:firstRow="0" w:lastRow="0" w:firstColumn="0" w:lastColumn="0" w:noHBand="0" w:noVBand="0"/>
      </w:tblPr>
      <w:tblGrid>
        <w:gridCol w:w="3100"/>
        <w:gridCol w:w="3430"/>
        <w:gridCol w:w="1992"/>
      </w:tblGrid>
      <w:tr w:rsidR="00ED24D0" w:rsidRPr="001D3940" w14:paraId="7C16300A" w14:textId="77777777" w:rsidTr="003964D0">
        <w:tc>
          <w:tcPr>
            <w:tcW w:w="3100" w:type="dxa"/>
            <w:tcBorders>
              <w:top w:val="single" w:sz="4" w:space="0" w:color="000000"/>
              <w:bottom w:val="single" w:sz="4" w:space="0" w:color="000000"/>
            </w:tcBorders>
            <w:shd w:val="clear" w:color="auto" w:fill="auto"/>
          </w:tcPr>
          <w:p w14:paraId="7985A673"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430" w:type="dxa"/>
            <w:tcBorders>
              <w:top w:val="single" w:sz="4" w:space="0" w:color="000000"/>
              <w:bottom w:val="single" w:sz="4" w:space="0" w:color="000000"/>
            </w:tcBorders>
            <w:shd w:val="clear" w:color="auto" w:fill="auto"/>
          </w:tcPr>
          <w:p w14:paraId="174F936C"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62D763A2" w14:textId="77777777" w:rsidR="00ED24D0" w:rsidRPr="001D3940" w:rsidRDefault="00ED24D0" w:rsidP="003964D0">
            <w:pPr>
              <w:tabs>
                <w:tab w:val="left" w:pos="0"/>
                <w:tab w:val="left" w:pos="444"/>
                <w:tab w:val="left" w:pos="720"/>
              </w:tabs>
              <w:spacing w:line="240" w:lineRule="atLeast"/>
              <w:jc w:val="center"/>
              <w:rPr>
                <w:color w:val="auto"/>
              </w:rPr>
            </w:pPr>
            <w:r w:rsidRPr="001D3940">
              <w:rPr>
                <w:b/>
                <w:color w:val="auto"/>
                <w:spacing w:val="-3"/>
                <w:szCs w:val="24"/>
              </w:rPr>
              <w:t>T/K</w:t>
            </w:r>
          </w:p>
        </w:tc>
      </w:tr>
      <w:tr w:rsidR="00ED24D0" w:rsidRPr="001D3940" w14:paraId="110091E4" w14:textId="77777777" w:rsidTr="003964D0">
        <w:tc>
          <w:tcPr>
            <w:tcW w:w="3100" w:type="dxa"/>
            <w:tcBorders>
              <w:top w:val="single" w:sz="4" w:space="0" w:color="000000"/>
            </w:tcBorders>
            <w:shd w:val="clear" w:color="auto" w:fill="auto"/>
          </w:tcPr>
          <w:p w14:paraId="7A3DE8F0" w14:textId="77777777" w:rsidR="00ED24D0" w:rsidRPr="001D3940" w:rsidRDefault="00ED24D0" w:rsidP="003964D0">
            <w:pPr>
              <w:tabs>
                <w:tab w:val="left" w:pos="0"/>
                <w:tab w:val="left" w:pos="444"/>
                <w:tab w:val="left" w:pos="720"/>
              </w:tabs>
              <w:snapToGrid w:val="0"/>
              <w:spacing w:line="240" w:lineRule="atLeast"/>
              <w:jc w:val="center"/>
              <w:rPr>
                <w:i/>
                <w:color w:val="auto"/>
                <w:spacing w:val="-3"/>
                <w:szCs w:val="24"/>
              </w:rPr>
            </w:pPr>
          </w:p>
        </w:tc>
        <w:tc>
          <w:tcPr>
            <w:tcW w:w="3430" w:type="dxa"/>
            <w:tcBorders>
              <w:top w:val="single" w:sz="4" w:space="0" w:color="000000"/>
            </w:tcBorders>
            <w:shd w:val="clear" w:color="auto" w:fill="auto"/>
          </w:tcPr>
          <w:p w14:paraId="341E4263" w14:textId="77777777" w:rsidR="00ED24D0" w:rsidRPr="001D3940" w:rsidRDefault="00ED24D0" w:rsidP="003964D0">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07E5ABE8" w14:textId="77777777" w:rsidR="00ED24D0" w:rsidRPr="001D3940" w:rsidRDefault="00ED24D0" w:rsidP="003964D0">
            <w:pPr>
              <w:tabs>
                <w:tab w:val="left" w:pos="0"/>
                <w:tab w:val="left" w:pos="444"/>
                <w:tab w:val="left" w:pos="720"/>
              </w:tabs>
              <w:snapToGrid w:val="0"/>
              <w:spacing w:line="240" w:lineRule="atLeast"/>
              <w:jc w:val="center"/>
              <w:rPr>
                <w:color w:val="auto"/>
                <w:spacing w:val="-3"/>
                <w:szCs w:val="24"/>
              </w:rPr>
            </w:pPr>
          </w:p>
        </w:tc>
      </w:tr>
      <w:tr w:rsidR="00ED24D0" w:rsidRPr="001D3940" w14:paraId="78E0C218" w14:textId="77777777" w:rsidTr="003964D0">
        <w:tc>
          <w:tcPr>
            <w:tcW w:w="3100" w:type="dxa"/>
            <w:shd w:val="clear" w:color="auto" w:fill="auto"/>
          </w:tcPr>
          <w:p w14:paraId="5DE98A8E" w14:textId="77777777" w:rsidR="00ED24D0" w:rsidRPr="001D3940" w:rsidRDefault="00275FC8" w:rsidP="003964D0">
            <w:pPr>
              <w:tabs>
                <w:tab w:val="left" w:pos="0"/>
                <w:tab w:val="left" w:pos="444"/>
                <w:tab w:val="left" w:pos="720"/>
              </w:tabs>
              <w:spacing w:line="240" w:lineRule="atLeast"/>
              <w:jc w:val="center"/>
              <w:rPr>
                <w:color w:val="auto"/>
                <w:spacing w:val="-3"/>
              </w:rPr>
            </w:pPr>
            <w:r>
              <w:rPr>
                <w:i/>
                <w:color w:val="auto"/>
                <w:spacing w:val="-3"/>
                <w:szCs w:val="24"/>
              </w:rPr>
              <w:t>k</w:t>
            </w:r>
            <w:r w:rsidRPr="00275FC8">
              <w:rPr>
                <w:color w:val="auto"/>
                <w:spacing w:val="-3"/>
                <w:szCs w:val="24"/>
                <w:vertAlign w:val="subscript"/>
              </w:rPr>
              <w:t>1</w:t>
            </w:r>
            <w:r w:rsidR="00ED24D0" w:rsidRPr="001D3940">
              <w:rPr>
                <w:color w:val="auto"/>
                <w:spacing w:val="-3"/>
                <w:szCs w:val="24"/>
              </w:rPr>
              <w:t xml:space="preserve"> /cm</w:t>
            </w:r>
            <w:r w:rsidR="00ED24D0" w:rsidRPr="001D3940">
              <w:rPr>
                <w:color w:val="auto"/>
                <w:spacing w:val="-3"/>
                <w:szCs w:val="24"/>
                <w:vertAlign w:val="superscript"/>
              </w:rPr>
              <w:t>3</w:t>
            </w:r>
            <w:r w:rsidR="00ED24D0" w:rsidRPr="001D3940">
              <w:rPr>
                <w:color w:val="auto"/>
                <w:spacing w:val="-3"/>
                <w:szCs w:val="24"/>
              </w:rPr>
              <w:t xml:space="preserve"> molecule</w:t>
            </w:r>
            <w:r w:rsidR="00ED24D0" w:rsidRPr="001D3940">
              <w:rPr>
                <w:color w:val="auto"/>
                <w:spacing w:val="-3"/>
                <w:szCs w:val="24"/>
                <w:vertAlign w:val="superscript"/>
              </w:rPr>
              <w:t>-1</w:t>
            </w:r>
            <w:r w:rsidR="00ED24D0" w:rsidRPr="001D3940">
              <w:rPr>
                <w:color w:val="auto"/>
                <w:spacing w:val="-3"/>
                <w:szCs w:val="24"/>
              </w:rPr>
              <w:t xml:space="preserve"> s</w:t>
            </w:r>
            <w:r w:rsidR="00ED24D0" w:rsidRPr="001D3940">
              <w:rPr>
                <w:color w:val="auto"/>
                <w:spacing w:val="-3"/>
                <w:szCs w:val="24"/>
                <w:vertAlign w:val="superscript"/>
              </w:rPr>
              <w:t>-1</w:t>
            </w:r>
          </w:p>
        </w:tc>
        <w:tc>
          <w:tcPr>
            <w:tcW w:w="3430" w:type="dxa"/>
            <w:shd w:val="clear" w:color="auto" w:fill="auto"/>
          </w:tcPr>
          <w:p w14:paraId="6375424D" w14:textId="77777777" w:rsidR="00ED24D0" w:rsidRPr="001D3940" w:rsidRDefault="00C033B3" w:rsidP="00964758">
            <w:pPr>
              <w:tabs>
                <w:tab w:val="left" w:pos="0"/>
                <w:tab w:val="left" w:pos="444"/>
                <w:tab w:val="left" w:pos="720"/>
              </w:tabs>
              <w:spacing w:line="240" w:lineRule="atLeast"/>
              <w:rPr>
                <w:color w:val="auto"/>
                <w:spacing w:val="-3"/>
                <w:szCs w:val="24"/>
              </w:rPr>
            </w:pPr>
            <w:r>
              <w:t>2.8</w:t>
            </w:r>
            <w:r w:rsidR="0085481F">
              <w:t xml:space="preserve"> </w:t>
            </w:r>
            <w:r w:rsidR="0085481F" w:rsidRPr="001D3940">
              <w:rPr>
                <w:rFonts w:ascii="Symbol" w:hAnsi="Symbol" w:cs="Symbol"/>
                <w:color w:val="auto"/>
              </w:rPr>
              <w:t></w:t>
            </w:r>
            <w:r w:rsidR="0085481F">
              <w:t xml:space="preserve"> 10</w:t>
            </w:r>
            <w:r w:rsidR="0085481F">
              <w:rPr>
                <w:vertAlign w:val="superscript"/>
              </w:rPr>
              <w:t>-1</w:t>
            </w:r>
            <w:r w:rsidR="00275FC8">
              <w:rPr>
                <w:vertAlign w:val="superscript"/>
              </w:rPr>
              <w:t>6</w:t>
            </w:r>
          </w:p>
        </w:tc>
        <w:tc>
          <w:tcPr>
            <w:tcW w:w="1992" w:type="dxa"/>
            <w:shd w:val="clear" w:color="auto" w:fill="auto"/>
          </w:tcPr>
          <w:p w14:paraId="247D6036" w14:textId="77777777" w:rsidR="00ED24D0" w:rsidRPr="001D3940" w:rsidRDefault="00ED24D0" w:rsidP="003964D0">
            <w:pPr>
              <w:tabs>
                <w:tab w:val="left" w:pos="0"/>
                <w:tab w:val="left" w:pos="444"/>
                <w:tab w:val="left" w:pos="720"/>
              </w:tabs>
              <w:spacing w:line="240" w:lineRule="atLeast"/>
              <w:jc w:val="center"/>
              <w:rPr>
                <w:color w:val="auto"/>
              </w:rPr>
            </w:pPr>
            <w:r w:rsidRPr="001D3940">
              <w:rPr>
                <w:color w:val="auto"/>
                <w:spacing w:val="-3"/>
                <w:szCs w:val="24"/>
              </w:rPr>
              <w:t>298</w:t>
            </w:r>
          </w:p>
        </w:tc>
      </w:tr>
      <w:tr w:rsidR="00275FC8" w:rsidRPr="001D3940" w14:paraId="44BF5577" w14:textId="77777777" w:rsidTr="003964D0">
        <w:tc>
          <w:tcPr>
            <w:tcW w:w="3100" w:type="dxa"/>
            <w:shd w:val="clear" w:color="auto" w:fill="auto"/>
          </w:tcPr>
          <w:p w14:paraId="618301B0" w14:textId="77777777" w:rsidR="00275FC8" w:rsidRPr="00D43314" w:rsidRDefault="00275FC8" w:rsidP="00275FC8">
            <w:pPr>
              <w:tabs>
                <w:tab w:val="left" w:pos="0"/>
                <w:tab w:val="left" w:pos="444"/>
                <w:tab w:val="left" w:pos="720"/>
              </w:tabs>
              <w:spacing w:line="240" w:lineRule="atLeast"/>
              <w:jc w:val="center"/>
              <w:rPr>
                <w:i/>
                <w:color w:val="auto"/>
                <w:spacing w:val="-3"/>
                <w:szCs w:val="24"/>
              </w:rPr>
            </w:pPr>
            <w:r w:rsidRPr="00D43314">
              <w:rPr>
                <w:i/>
                <w:color w:val="auto"/>
                <w:spacing w:val="-3"/>
                <w:szCs w:val="24"/>
              </w:rPr>
              <w:t>k</w:t>
            </w:r>
            <w:r w:rsidRPr="00D43314">
              <w:rPr>
                <w:color w:val="auto"/>
                <w:spacing w:val="-3"/>
                <w:szCs w:val="24"/>
                <w:vertAlign w:val="subscript"/>
              </w:rPr>
              <w:t>2</w:t>
            </w:r>
            <w:r w:rsidRPr="00D43314">
              <w:rPr>
                <w:color w:val="auto"/>
                <w:spacing w:val="-3"/>
                <w:szCs w:val="24"/>
              </w:rPr>
              <w:t xml:space="preserve"> /cm</w:t>
            </w:r>
            <w:r w:rsidRPr="00D43314">
              <w:rPr>
                <w:color w:val="auto"/>
                <w:spacing w:val="-3"/>
                <w:szCs w:val="24"/>
                <w:vertAlign w:val="superscript"/>
              </w:rPr>
              <w:t>3</w:t>
            </w:r>
            <w:r w:rsidRPr="00D43314">
              <w:rPr>
                <w:color w:val="auto"/>
                <w:spacing w:val="-3"/>
                <w:szCs w:val="24"/>
              </w:rPr>
              <w:t xml:space="preserve"> molecule</w:t>
            </w:r>
            <w:r w:rsidRPr="00D43314">
              <w:rPr>
                <w:color w:val="auto"/>
                <w:spacing w:val="-3"/>
                <w:szCs w:val="24"/>
                <w:vertAlign w:val="superscript"/>
              </w:rPr>
              <w:t>-1</w:t>
            </w:r>
            <w:r w:rsidRPr="00D43314">
              <w:rPr>
                <w:color w:val="auto"/>
                <w:spacing w:val="-3"/>
                <w:szCs w:val="24"/>
              </w:rPr>
              <w:t xml:space="preserve"> s</w:t>
            </w:r>
            <w:r w:rsidRPr="00D43314">
              <w:rPr>
                <w:color w:val="auto"/>
                <w:spacing w:val="-3"/>
                <w:szCs w:val="24"/>
                <w:vertAlign w:val="superscript"/>
              </w:rPr>
              <w:t>-1</w:t>
            </w:r>
          </w:p>
        </w:tc>
        <w:tc>
          <w:tcPr>
            <w:tcW w:w="3430" w:type="dxa"/>
            <w:shd w:val="clear" w:color="auto" w:fill="auto"/>
          </w:tcPr>
          <w:p w14:paraId="79E49739" w14:textId="77777777" w:rsidR="00275FC8" w:rsidRPr="00D43314" w:rsidRDefault="00275FC8" w:rsidP="00964758">
            <w:pPr>
              <w:tabs>
                <w:tab w:val="left" w:pos="0"/>
                <w:tab w:val="left" w:pos="444"/>
                <w:tab w:val="left" w:pos="720"/>
              </w:tabs>
              <w:spacing w:line="240" w:lineRule="atLeast"/>
              <w:rPr>
                <w:color w:val="auto"/>
              </w:rPr>
            </w:pPr>
            <w:r w:rsidRPr="00D43314">
              <w:rPr>
                <w:color w:val="auto"/>
              </w:rPr>
              <w:t>6.</w:t>
            </w:r>
            <w:r w:rsidR="00C033B3">
              <w:rPr>
                <w:color w:val="auto"/>
              </w:rPr>
              <w:t>4</w:t>
            </w:r>
            <w:r w:rsidRPr="00D43314">
              <w:rPr>
                <w:color w:val="auto"/>
              </w:rPr>
              <w:t xml:space="preserve"> </w:t>
            </w:r>
            <w:r w:rsidRPr="00D43314">
              <w:rPr>
                <w:rFonts w:ascii="Symbol" w:hAnsi="Symbol" w:cs="Symbol"/>
                <w:color w:val="auto"/>
              </w:rPr>
              <w:t></w:t>
            </w:r>
            <w:r w:rsidRPr="00D43314">
              <w:rPr>
                <w:color w:val="auto"/>
              </w:rPr>
              <w:t xml:space="preserve"> 10</w:t>
            </w:r>
            <w:r w:rsidRPr="00D43314">
              <w:rPr>
                <w:color w:val="auto"/>
                <w:vertAlign w:val="superscript"/>
              </w:rPr>
              <w:t>-12</w:t>
            </w:r>
          </w:p>
        </w:tc>
        <w:tc>
          <w:tcPr>
            <w:tcW w:w="1992" w:type="dxa"/>
            <w:shd w:val="clear" w:color="auto" w:fill="auto"/>
          </w:tcPr>
          <w:p w14:paraId="518A6130" w14:textId="77777777" w:rsidR="00275FC8" w:rsidRPr="00D43314" w:rsidRDefault="00275FC8" w:rsidP="003964D0">
            <w:pPr>
              <w:tabs>
                <w:tab w:val="left" w:pos="0"/>
                <w:tab w:val="left" w:pos="444"/>
                <w:tab w:val="left" w:pos="720"/>
              </w:tabs>
              <w:spacing w:line="240" w:lineRule="atLeast"/>
              <w:jc w:val="center"/>
              <w:rPr>
                <w:color w:val="auto"/>
                <w:spacing w:val="-3"/>
                <w:szCs w:val="24"/>
              </w:rPr>
            </w:pPr>
            <w:r w:rsidRPr="00D43314">
              <w:rPr>
                <w:color w:val="auto"/>
                <w:spacing w:val="-3"/>
                <w:szCs w:val="24"/>
              </w:rPr>
              <w:t>298</w:t>
            </w:r>
          </w:p>
        </w:tc>
      </w:tr>
      <w:tr w:rsidR="00275FC8" w:rsidRPr="001D3940" w14:paraId="1989D27B" w14:textId="77777777" w:rsidTr="003964D0">
        <w:tc>
          <w:tcPr>
            <w:tcW w:w="3100" w:type="dxa"/>
            <w:shd w:val="clear" w:color="auto" w:fill="auto"/>
          </w:tcPr>
          <w:p w14:paraId="7B3E86B3" w14:textId="77777777" w:rsidR="00275FC8" w:rsidRDefault="00275FC8" w:rsidP="00275FC8">
            <w:pPr>
              <w:tabs>
                <w:tab w:val="left" w:pos="0"/>
                <w:tab w:val="left" w:pos="444"/>
                <w:tab w:val="left" w:pos="720"/>
              </w:tabs>
              <w:spacing w:line="240" w:lineRule="atLeast"/>
              <w:jc w:val="center"/>
              <w:rPr>
                <w:i/>
                <w:color w:val="auto"/>
                <w:spacing w:val="-3"/>
                <w:szCs w:val="24"/>
              </w:rPr>
            </w:pPr>
            <w:r>
              <w:rPr>
                <w:i/>
                <w:color w:val="auto"/>
                <w:spacing w:val="-3"/>
                <w:szCs w:val="24"/>
              </w:rPr>
              <w:t>k</w:t>
            </w:r>
            <w:r>
              <w:rPr>
                <w:color w:val="auto"/>
                <w:spacing w:val="-3"/>
                <w:szCs w:val="24"/>
                <w:vertAlign w:val="subscript"/>
              </w:rPr>
              <w:t>2</w:t>
            </w:r>
            <w:r w:rsidRPr="001D3940">
              <w:rPr>
                <w:color w:val="auto"/>
                <w:spacing w:val="-3"/>
                <w:szCs w:val="24"/>
              </w:rPr>
              <w:t xml:space="preserve"> /cm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3430" w:type="dxa"/>
            <w:shd w:val="clear" w:color="auto" w:fill="auto"/>
          </w:tcPr>
          <w:p w14:paraId="28C28461" w14:textId="77777777" w:rsidR="00275FC8" w:rsidRPr="00275FC8" w:rsidRDefault="00A55F48" w:rsidP="00A55F48">
            <w:pPr>
              <w:tabs>
                <w:tab w:val="left" w:pos="0"/>
                <w:tab w:val="left" w:pos="444"/>
                <w:tab w:val="left" w:pos="720"/>
              </w:tabs>
              <w:spacing w:line="240" w:lineRule="atLeast"/>
              <w:rPr>
                <w:color w:val="auto"/>
              </w:rPr>
            </w:pPr>
            <w:r>
              <w:rPr>
                <w:color w:val="auto"/>
              </w:rPr>
              <w:t>7.</w:t>
            </w:r>
            <w:r w:rsidR="00C033B3">
              <w:rPr>
                <w:color w:val="auto"/>
              </w:rPr>
              <w:t>35</w:t>
            </w:r>
            <w:r w:rsidR="00275FC8" w:rsidRPr="00275FC8">
              <w:rPr>
                <w:color w:val="auto"/>
              </w:rPr>
              <w:t xml:space="preserve"> </w:t>
            </w:r>
            <w:r w:rsidR="00275FC8" w:rsidRPr="00275FC8">
              <w:rPr>
                <w:rFonts w:ascii="Symbol" w:hAnsi="Symbol" w:cs="Symbol"/>
                <w:color w:val="auto"/>
              </w:rPr>
              <w:t></w:t>
            </w:r>
            <w:r w:rsidR="00275FC8" w:rsidRPr="00275FC8">
              <w:rPr>
                <w:color w:val="auto"/>
              </w:rPr>
              <w:t xml:space="preserve"> 10</w:t>
            </w:r>
            <w:r w:rsidR="00275FC8" w:rsidRPr="00275FC8">
              <w:rPr>
                <w:color w:val="auto"/>
                <w:vertAlign w:val="superscript"/>
              </w:rPr>
              <w:t xml:space="preserve">-18 </w:t>
            </w:r>
            <w:r w:rsidR="00275FC8" w:rsidRPr="00275FC8">
              <w:rPr>
                <w:color w:val="auto"/>
              </w:rPr>
              <w:t>exp(4</w:t>
            </w:r>
            <w:r>
              <w:rPr>
                <w:color w:val="auto"/>
              </w:rPr>
              <w:t>076</w:t>
            </w:r>
            <w:r w:rsidR="00275FC8" w:rsidRPr="00275FC8">
              <w:rPr>
                <w:color w:val="auto"/>
              </w:rPr>
              <w:t>/</w:t>
            </w:r>
            <w:r w:rsidR="00275FC8" w:rsidRPr="00275FC8">
              <w:rPr>
                <w:i/>
                <w:color w:val="auto"/>
              </w:rPr>
              <w:t>T</w:t>
            </w:r>
            <w:r w:rsidR="00275FC8" w:rsidRPr="00275FC8">
              <w:rPr>
                <w:color w:val="auto"/>
              </w:rPr>
              <w:t>)</w:t>
            </w:r>
          </w:p>
        </w:tc>
        <w:tc>
          <w:tcPr>
            <w:tcW w:w="1992" w:type="dxa"/>
            <w:shd w:val="clear" w:color="auto" w:fill="auto"/>
          </w:tcPr>
          <w:p w14:paraId="495D40C0" w14:textId="77777777" w:rsidR="00275FC8" w:rsidRPr="001D3940" w:rsidRDefault="00275FC8" w:rsidP="003964D0">
            <w:pPr>
              <w:tabs>
                <w:tab w:val="left" w:pos="0"/>
                <w:tab w:val="left" w:pos="444"/>
                <w:tab w:val="left" w:pos="720"/>
              </w:tabs>
              <w:spacing w:line="240" w:lineRule="atLeast"/>
              <w:jc w:val="center"/>
              <w:rPr>
                <w:color w:val="auto"/>
                <w:spacing w:val="-3"/>
                <w:szCs w:val="24"/>
              </w:rPr>
            </w:pPr>
            <w:r>
              <w:rPr>
                <w:color w:val="auto"/>
                <w:spacing w:val="-3"/>
                <w:szCs w:val="24"/>
              </w:rPr>
              <w:t>280-325</w:t>
            </w:r>
          </w:p>
        </w:tc>
      </w:tr>
    </w:tbl>
    <w:p w14:paraId="575C6C29" w14:textId="77777777" w:rsidR="00ED24D0" w:rsidRPr="001D3940" w:rsidRDefault="00ED24D0" w:rsidP="00ED24D0">
      <w:pPr>
        <w:tabs>
          <w:tab w:val="left" w:pos="0"/>
          <w:tab w:val="left" w:pos="444"/>
          <w:tab w:val="left" w:pos="720"/>
        </w:tabs>
        <w:spacing w:line="240" w:lineRule="atLeast"/>
        <w:jc w:val="both"/>
        <w:rPr>
          <w:color w:val="auto"/>
        </w:rPr>
      </w:pPr>
    </w:p>
    <w:p w14:paraId="0FAE3292" w14:textId="77777777" w:rsidR="00ED24D0" w:rsidRPr="001D3940" w:rsidRDefault="00ED24D0" w:rsidP="00ED24D0">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85481F" w:rsidRPr="001D3940" w14:paraId="0A3832F7" w14:textId="77777777" w:rsidTr="00275FC8">
        <w:tc>
          <w:tcPr>
            <w:tcW w:w="3056" w:type="dxa"/>
            <w:shd w:val="clear" w:color="auto" w:fill="auto"/>
          </w:tcPr>
          <w:p w14:paraId="28D6BE11" w14:textId="77777777" w:rsidR="0085481F" w:rsidRPr="001D3940" w:rsidRDefault="0085481F" w:rsidP="00275FC8">
            <w:pPr>
              <w:tabs>
                <w:tab w:val="left" w:pos="0"/>
                <w:tab w:val="left" w:pos="444"/>
                <w:tab w:val="left" w:pos="720"/>
              </w:tabs>
              <w:spacing w:line="240" w:lineRule="atLeast"/>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r w:rsidR="000121E1">
              <w:rPr>
                <w:color w:val="auto"/>
                <w:spacing w:val="-3"/>
                <w:szCs w:val="24"/>
                <w:vertAlign w:val="subscript"/>
              </w:rPr>
              <w:t>1</w:t>
            </w:r>
          </w:p>
        </w:tc>
        <w:tc>
          <w:tcPr>
            <w:tcW w:w="3455" w:type="dxa"/>
            <w:shd w:val="clear" w:color="auto" w:fill="auto"/>
          </w:tcPr>
          <w:p w14:paraId="51466066" w14:textId="77777777" w:rsidR="0085481F" w:rsidRPr="001D3940" w:rsidRDefault="0085481F" w:rsidP="000121E1">
            <w:pPr>
              <w:tabs>
                <w:tab w:val="left" w:pos="0"/>
                <w:tab w:val="left" w:pos="444"/>
                <w:tab w:val="left" w:pos="720"/>
              </w:tabs>
              <w:spacing w:line="240" w:lineRule="atLeast"/>
              <w:rPr>
                <w:color w:val="auto"/>
                <w:spacing w:val="-3"/>
                <w:szCs w:val="24"/>
              </w:rPr>
            </w:pPr>
            <w:r w:rsidRPr="001D3940">
              <w:rPr>
                <w:color w:val="auto"/>
                <w:spacing w:val="-3"/>
                <w:szCs w:val="24"/>
              </w:rPr>
              <w:t>± 0.</w:t>
            </w:r>
            <w:r w:rsidR="00CF28E5">
              <w:rPr>
                <w:color w:val="auto"/>
                <w:spacing w:val="-3"/>
                <w:szCs w:val="24"/>
              </w:rPr>
              <w:t>3</w:t>
            </w:r>
          </w:p>
        </w:tc>
        <w:tc>
          <w:tcPr>
            <w:tcW w:w="2011" w:type="dxa"/>
            <w:shd w:val="clear" w:color="auto" w:fill="auto"/>
          </w:tcPr>
          <w:p w14:paraId="13ED1B2C" w14:textId="77777777" w:rsidR="0085481F" w:rsidRPr="001D3940" w:rsidRDefault="0085481F" w:rsidP="00275FC8">
            <w:pPr>
              <w:tabs>
                <w:tab w:val="left" w:pos="0"/>
                <w:tab w:val="left" w:pos="444"/>
                <w:tab w:val="left" w:pos="720"/>
              </w:tabs>
              <w:spacing w:line="240" w:lineRule="atLeast"/>
              <w:jc w:val="center"/>
              <w:rPr>
                <w:color w:val="auto"/>
              </w:rPr>
            </w:pPr>
            <w:r w:rsidRPr="001D3940">
              <w:rPr>
                <w:color w:val="auto"/>
                <w:spacing w:val="-3"/>
                <w:szCs w:val="24"/>
              </w:rPr>
              <w:t>298</w:t>
            </w:r>
          </w:p>
        </w:tc>
      </w:tr>
      <w:tr w:rsidR="00A55F48" w:rsidRPr="001D3940" w14:paraId="1BFA7CB3" w14:textId="77777777" w:rsidTr="00275FC8">
        <w:tc>
          <w:tcPr>
            <w:tcW w:w="3056" w:type="dxa"/>
            <w:shd w:val="clear" w:color="auto" w:fill="auto"/>
          </w:tcPr>
          <w:p w14:paraId="2907E840" w14:textId="77777777" w:rsidR="00A55F48" w:rsidRPr="001D3940" w:rsidRDefault="00A55F48" w:rsidP="000F4159">
            <w:pPr>
              <w:tabs>
                <w:tab w:val="left" w:pos="0"/>
                <w:tab w:val="left" w:pos="444"/>
                <w:tab w:val="left" w:pos="720"/>
              </w:tabs>
              <w:spacing w:line="240" w:lineRule="atLeast"/>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r w:rsidRPr="00275FC8">
              <w:rPr>
                <w:color w:val="auto"/>
                <w:spacing w:val="-3"/>
                <w:szCs w:val="24"/>
                <w:vertAlign w:val="subscript"/>
              </w:rPr>
              <w:t>2</w:t>
            </w:r>
          </w:p>
        </w:tc>
        <w:tc>
          <w:tcPr>
            <w:tcW w:w="3455" w:type="dxa"/>
            <w:shd w:val="clear" w:color="auto" w:fill="auto"/>
          </w:tcPr>
          <w:p w14:paraId="2F65B3C5" w14:textId="77777777" w:rsidR="00A55F48" w:rsidRPr="001D3940" w:rsidRDefault="00A55F48" w:rsidP="000121E1">
            <w:pPr>
              <w:tabs>
                <w:tab w:val="left" w:pos="0"/>
                <w:tab w:val="left" w:pos="444"/>
                <w:tab w:val="left" w:pos="720"/>
              </w:tabs>
              <w:spacing w:line="240" w:lineRule="atLeast"/>
              <w:rPr>
                <w:color w:val="auto"/>
                <w:spacing w:val="-3"/>
                <w:szCs w:val="24"/>
              </w:rPr>
            </w:pPr>
            <w:r w:rsidRPr="001D3940">
              <w:rPr>
                <w:color w:val="auto"/>
                <w:spacing w:val="-3"/>
                <w:szCs w:val="24"/>
              </w:rPr>
              <w:t>± 0.</w:t>
            </w:r>
            <w:r w:rsidR="00C033B3">
              <w:rPr>
                <w:color w:val="auto"/>
                <w:spacing w:val="-3"/>
                <w:szCs w:val="24"/>
              </w:rPr>
              <w:t>2</w:t>
            </w:r>
          </w:p>
        </w:tc>
        <w:tc>
          <w:tcPr>
            <w:tcW w:w="2011" w:type="dxa"/>
            <w:shd w:val="clear" w:color="auto" w:fill="auto"/>
          </w:tcPr>
          <w:p w14:paraId="6BAE6235" w14:textId="77777777" w:rsidR="00A55F48" w:rsidRPr="001D3940" w:rsidRDefault="00A55F48" w:rsidP="000F4159">
            <w:pPr>
              <w:tabs>
                <w:tab w:val="left" w:pos="0"/>
                <w:tab w:val="left" w:pos="444"/>
                <w:tab w:val="left" w:pos="720"/>
              </w:tabs>
              <w:spacing w:line="240" w:lineRule="atLeast"/>
              <w:jc w:val="center"/>
              <w:rPr>
                <w:color w:val="auto"/>
              </w:rPr>
            </w:pPr>
            <w:r w:rsidRPr="001D3940">
              <w:rPr>
                <w:color w:val="auto"/>
                <w:spacing w:val="-3"/>
                <w:szCs w:val="24"/>
              </w:rPr>
              <w:t>298</w:t>
            </w:r>
          </w:p>
        </w:tc>
      </w:tr>
      <w:tr w:rsidR="00A55F48" w:rsidRPr="001D3940" w14:paraId="53F4E0AC" w14:textId="77777777" w:rsidTr="00275FC8">
        <w:tc>
          <w:tcPr>
            <w:tcW w:w="3056" w:type="dxa"/>
            <w:tcBorders>
              <w:bottom w:val="single" w:sz="4" w:space="0" w:color="auto"/>
            </w:tcBorders>
            <w:shd w:val="clear" w:color="auto" w:fill="auto"/>
          </w:tcPr>
          <w:p w14:paraId="738E92CD" w14:textId="77777777" w:rsidR="00A55F48" w:rsidRPr="001D3940" w:rsidRDefault="00A55F48" w:rsidP="00275FC8">
            <w:pPr>
              <w:tabs>
                <w:tab w:val="left" w:pos="0"/>
                <w:tab w:val="left" w:pos="444"/>
                <w:tab w:val="left" w:pos="720"/>
              </w:tabs>
              <w:spacing w:after="120" w:line="240" w:lineRule="atLeast"/>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w:t>
            </w:r>
            <w:r>
              <w:rPr>
                <w:color w:val="auto"/>
                <w:spacing w:val="-3"/>
                <w:szCs w:val="24"/>
              </w:rPr>
              <w:t>(</w:t>
            </w:r>
            <w:r w:rsidRPr="00275FC8">
              <w:rPr>
                <w:i/>
                <w:color w:val="auto"/>
                <w:spacing w:val="-3"/>
                <w:szCs w:val="24"/>
              </w:rPr>
              <w:t>E</w:t>
            </w:r>
            <w:r w:rsidRPr="00A55F48">
              <w:rPr>
                <w:color w:val="auto"/>
                <w:spacing w:val="-3"/>
                <w:szCs w:val="24"/>
                <w:vertAlign w:val="subscript"/>
              </w:rPr>
              <w:t>2</w:t>
            </w:r>
            <w:r>
              <w:rPr>
                <w:color w:val="auto"/>
                <w:spacing w:val="-3"/>
                <w:szCs w:val="24"/>
              </w:rPr>
              <w:t>/</w:t>
            </w:r>
            <w:r w:rsidRPr="00275FC8">
              <w:rPr>
                <w:i/>
                <w:color w:val="auto"/>
                <w:spacing w:val="-3"/>
                <w:szCs w:val="24"/>
              </w:rPr>
              <w:t>R</w:t>
            </w:r>
            <w:r>
              <w:rPr>
                <w:color w:val="auto"/>
                <w:spacing w:val="-3"/>
                <w:szCs w:val="24"/>
              </w:rPr>
              <w:t>)</w:t>
            </w:r>
          </w:p>
        </w:tc>
        <w:tc>
          <w:tcPr>
            <w:tcW w:w="3455" w:type="dxa"/>
            <w:tcBorders>
              <w:bottom w:val="single" w:sz="4" w:space="0" w:color="auto"/>
            </w:tcBorders>
            <w:shd w:val="clear" w:color="auto" w:fill="auto"/>
          </w:tcPr>
          <w:p w14:paraId="3FA2B005" w14:textId="77777777" w:rsidR="00A55F48" w:rsidRPr="001D3940" w:rsidRDefault="00A55F48" w:rsidP="00964758">
            <w:pPr>
              <w:tabs>
                <w:tab w:val="left" w:pos="0"/>
                <w:tab w:val="left" w:pos="444"/>
                <w:tab w:val="left" w:pos="720"/>
              </w:tabs>
              <w:spacing w:after="120" w:line="240" w:lineRule="atLeast"/>
              <w:rPr>
                <w:color w:val="auto"/>
                <w:spacing w:val="-3"/>
                <w:szCs w:val="24"/>
              </w:rPr>
            </w:pPr>
            <w:r w:rsidRPr="001D3940">
              <w:rPr>
                <w:color w:val="auto"/>
                <w:spacing w:val="-3"/>
                <w:szCs w:val="24"/>
              </w:rPr>
              <w:t xml:space="preserve">± </w:t>
            </w:r>
            <w:r>
              <w:rPr>
                <w:color w:val="auto"/>
                <w:spacing w:val="-3"/>
                <w:szCs w:val="24"/>
              </w:rPr>
              <w:t>500 K</w:t>
            </w:r>
          </w:p>
        </w:tc>
        <w:tc>
          <w:tcPr>
            <w:tcW w:w="2011" w:type="dxa"/>
            <w:tcBorders>
              <w:bottom w:val="single" w:sz="4" w:space="0" w:color="auto"/>
            </w:tcBorders>
            <w:shd w:val="clear" w:color="auto" w:fill="auto"/>
          </w:tcPr>
          <w:p w14:paraId="5F4778DF" w14:textId="77777777" w:rsidR="00A55F48" w:rsidRPr="00A55F48" w:rsidRDefault="00A55F48" w:rsidP="00441566">
            <w:pPr>
              <w:tabs>
                <w:tab w:val="left" w:pos="0"/>
                <w:tab w:val="left" w:pos="444"/>
                <w:tab w:val="left" w:pos="720"/>
              </w:tabs>
              <w:spacing w:after="120" w:line="240" w:lineRule="atLeast"/>
              <w:jc w:val="center"/>
              <w:rPr>
                <w:color w:val="auto"/>
              </w:rPr>
            </w:pPr>
            <w:r w:rsidRPr="00A55F48">
              <w:rPr>
                <w:color w:val="auto"/>
                <w:spacing w:val="-3"/>
                <w:szCs w:val="24"/>
              </w:rPr>
              <w:t>280-325</w:t>
            </w:r>
          </w:p>
        </w:tc>
      </w:tr>
    </w:tbl>
    <w:p w14:paraId="745C0245" w14:textId="77777777" w:rsidR="00CA56DB" w:rsidRPr="00CA56DB" w:rsidRDefault="00CA56DB" w:rsidP="00ED24D0">
      <w:pPr>
        <w:numPr>
          <w:ilvl w:val="0"/>
          <w:numId w:val="2"/>
        </w:numPr>
        <w:tabs>
          <w:tab w:val="left" w:pos="-1440"/>
          <w:tab w:val="left" w:pos="-720"/>
          <w:tab w:val="left" w:pos="444"/>
        </w:tabs>
        <w:jc w:val="both"/>
        <w:rPr>
          <w:color w:val="auto"/>
        </w:rPr>
      </w:pPr>
    </w:p>
    <w:p w14:paraId="08CFFE77" w14:textId="77777777" w:rsidR="00841AD8" w:rsidRPr="00841AD8" w:rsidRDefault="00841AD8" w:rsidP="00275FC8">
      <w:pPr>
        <w:numPr>
          <w:ilvl w:val="0"/>
          <w:numId w:val="2"/>
        </w:numPr>
        <w:tabs>
          <w:tab w:val="left" w:pos="-1440"/>
          <w:tab w:val="left" w:pos="-720"/>
          <w:tab w:val="left" w:pos="444"/>
        </w:tabs>
        <w:ind w:left="0" w:firstLine="0"/>
        <w:jc w:val="both"/>
        <w:rPr>
          <w:color w:val="auto"/>
        </w:rPr>
      </w:pPr>
    </w:p>
    <w:p w14:paraId="2E61D633" w14:textId="77777777" w:rsidR="00ED24D0" w:rsidRPr="001D3940" w:rsidRDefault="00ED24D0" w:rsidP="00275FC8">
      <w:pPr>
        <w:numPr>
          <w:ilvl w:val="0"/>
          <w:numId w:val="2"/>
        </w:numPr>
        <w:tabs>
          <w:tab w:val="left" w:pos="-1440"/>
          <w:tab w:val="left" w:pos="-720"/>
          <w:tab w:val="left" w:pos="444"/>
        </w:tabs>
        <w:ind w:left="0" w:firstLine="0"/>
        <w:jc w:val="both"/>
        <w:rPr>
          <w:color w:val="auto"/>
        </w:rPr>
      </w:pPr>
      <w:r w:rsidRPr="001D3940">
        <w:rPr>
          <w:i/>
          <w:color w:val="auto"/>
        </w:rPr>
        <w:t>Comments on Preferred Values</w:t>
      </w:r>
    </w:p>
    <w:p w14:paraId="7A633A7D" w14:textId="77777777" w:rsidR="00ED24D0" w:rsidRPr="000B1E91" w:rsidRDefault="00275FC8" w:rsidP="00ED24D0">
      <w:pPr>
        <w:tabs>
          <w:tab w:val="left" w:pos="-1440"/>
          <w:tab w:val="left" w:pos="-720"/>
          <w:tab w:val="left" w:pos="444"/>
        </w:tabs>
        <w:ind w:firstLine="444"/>
        <w:jc w:val="both"/>
        <w:rPr>
          <w:color w:val="auto"/>
          <w:spacing w:val="-3"/>
          <w:szCs w:val="24"/>
        </w:rPr>
      </w:pPr>
      <w:r>
        <w:t>An important discovery arising from the direct studies of CH</w:t>
      </w:r>
      <w:r>
        <w:rPr>
          <w:vertAlign w:val="subscript"/>
        </w:rPr>
        <w:t>2</w:t>
      </w:r>
      <w:r>
        <w:t xml:space="preserve">OO reaction with water </w:t>
      </w:r>
      <w:proofErr w:type="spellStart"/>
      <w:r>
        <w:t>vapour</w:t>
      </w:r>
      <w:proofErr w:type="spellEnd"/>
      <w:r>
        <w:t xml:space="preserve"> was the quadratic dependence of the pseudo-first order rate constant for loss of CH</w:t>
      </w:r>
      <w:r>
        <w:rPr>
          <w:vertAlign w:val="subscript"/>
        </w:rPr>
        <w:t>2</w:t>
      </w:r>
      <w:r>
        <w:t>OO on [H</w:t>
      </w:r>
      <w:r>
        <w:rPr>
          <w:vertAlign w:val="subscript"/>
        </w:rPr>
        <w:t>2</w:t>
      </w:r>
      <w:r>
        <w:t xml:space="preserve">O]. This is consistent with the predominant reaction </w:t>
      </w:r>
      <w:r w:rsidR="005645F0">
        <w:t>being</w:t>
      </w:r>
      <w:r>
        <w:t xml:space="preserve"> with the water dimer (</w:t>
      </w:r>
      <w:r>
        <w:rPr>
          <w:i/>
        </w:rPr>
        <w:t>k</w:t>
      </w:r>
      <w:r>
        <w:rPr>
          <w:vertAlign w:val="subscript"/>
        </w:rPr>
        <w:t>2</w:t>
      </w:r>
      <w:r>
        <w:t>). The reaction with monomeric water molecules (</w:t>
      </w:r>
      <w:r>
        <w:rPr>
          <w:i/>
        </w:rPr>
        <w:t>k</w:t>
      </w:r>
      <w:r>
        <w:rPr>
          <w:vertAlign w:val="subscript"/>
        </w:rPr>
        <w:t>1</w:t>
      </w:r>
      <w:r>
        <w:t xml:space="preserve">) is slow, and probably </w:t>
      </w:r>
      <w:r w:rsidR="00994208">
        <w:t xml:space="preserve">less </w:t>
      </w:r>
      <w:r>
        <w:t>important under atmospheric conditions. This conclusion is supported by recent relative rate studies, although there remain inconsistencies in results obtained in different laboratories. The most recent study of Smith et al. (</w:t>
      </w:r>
      <w:r w:rsidR="00044BA4">
        <w:t>2015</w:t>
      </w:r>
      <w:r>
        <w:t>) reports a strong negative temperature dependence for the reaction of CH</w:t>
      </w:r>
      <w:r>
        <w:rPr>
          <w:vertAlign w:val="subscript"/>
        </w:rPr>
        <w:t>2</w:t>
      </w:r>
      <w:r>
        <w:t>OO with the water dimer, also consistent with dimer reaction.</w:t>
      </w:r>
      <w:r w:rsidR="00A55F48">
        <w:t xml:space="preserve"> Their reported (negative) activation energy forms the basis of the preferred value of </w:t>
      </w:r>
      <w:r w:rsidR="00A55F48" w:rsidRPr="00A55F48">
        <w:rPr>
          <w:i/>
        </w:rPr>
        <w:t>E</w:t>
      </w:r>
      <w:r w:rsidR="00A55F48" w:rsidRPr="00A55F48">
        <w:rPr>
          <w:vertAlign w:val="subscript"/>
        </w:rPr>
        <w:t>2</w:t>
      </w:r>
      <w:r w:rsidR="00A55F48">
        <w:t>/R.</w:t>
      </w:r>
    </w:p>
    <w:p w14:paraId="4BC7D70E" w14:textId="73287FAA" w:rsidR="002D26FD" w:rsidRDefault="00275FC8" w:rsidP="002D26FD">
      <w:pPr>
        <w:tabs>
          <w:tab w:val="left" w:pos="-1440"/>
          <w:tab w:val="left" w:pos="-720"/>
          <w:tab w:val="left" w:pos="444"/>
        </w:tabs>
        <w:ind w:firstLine="444"/>
        <w:jc w:val="both"/>
      </w:pPr>
      <w:r>
        <w:t>Because of the observed quadratic dependence of the rate on [H</w:t>
      </w:r>
      <w:r>
        <w:rPr>
          <w:vertAlign w:val="subscript"/>
        </w:rPr>
        <w:t>2</w:t>
      </w:r>
      <w:r>
        <w:t>O] only those experimental studies which employed conditions of high</w:t>
      </w:r>
      <w:r w:rsidR="005645F0">
        <w:t xml:space="preserve"> enough</w:t>
      </w:r>
      <w:r>
        <w:t xml:space="preserve"> [H</w:t>
      </w:r>
      <w:r>
        <w:rPr>
          <w:vertAlign w:val="subscript"/>
        </w:rPr>
        <w:t>2</w:t>
      </w:r>
      <w:r>
        <w:t>O] provide [(H</w:t>
      </w:r>
      <w:r>
        <w:rPr>
          <w:vertAlign w:val="subscript"/>
        </w:rPr>
        <w:t>2</w:t>
      </w:r>
      <w:r>
        <w:t>O)</w:t>
      </w:r>
      <w:r>
        <w:rPr>
          <w:vertAlign w:val="subscript"/>
        </w:rPr>
        <w:t>2</w:t>
      </w:r>
      <w:r>
        <w:t>] sufficient to compete with monomer reaction and other loss reactions of CH</w:t>
      </w:r>
      <w:r>
        <w:rPr>
          <w:vertAlign w:val="subscript"/>
        </w:rPr>
        <w:t>2</w:t>
      </w:r>
      <w:r>
        <w:t xml:space="preserve">OO. The preferred value of </w:t>
      </w:r>
      <w:r>
        <w:rPr>
          <w:i/>
        </w:rPr>
        <w:t>k</w:t>
      </w:r>
      <w:r>
        <w:rPr>
          <w:vertAlign w:val="subscript"/>
        </w:rPr>
        <w:t xml:space="preserve">2 </w:t>
      </w:r>
      <w:r>
        <w:t>at 298 K is the mean</w:t>
      </w:r>
      <w:r w:rsidR="00CF28E5">
        <w:t xml:space="preserve"> of the</w:t>
      </w:r>
      <w:r>
        <w:t xml:space="preserve"> value</w:t>
      </w:r>
      <w:r w:rsidR="00CF28E5">
        <w:t>s</w:t>
      </w:r>
      <w:r>
        <w:t xml:space="preserve"> from the direct kinetic studies of Chao et al.</w:t>
      </w:r>
      <w:r w:rsidR="00793835">
        <w:t xml:space="preserve"> (</w:t>
      </w:r>
      <w:r>
        <w:t>2015</w:t>
      </w:r>
      <w:r w:rsidR="00793835">
        <w:t>)</w:t>
      </w:r>
      <w:r w:rsidR="00DF18E4">
        <w:t>,</w:t>
      </w:r>
      <w:r>
        <w:t xml:space="preserve"> Smith et al (</w:t>
      </w:r>
      <w:r w:rsidR="00C62CCF">
        <w:t>2015</w:t>
      </w:r>
      <w:r>
        <w:t>)</w:t>
      </w:r>
      <w:r w:rsidR="00CF28E5">
        <w:t xml:space="preserve"> and </w:t>
      </w:r>
      <w:proofErr w:type="spellStart"/>
      <w:r w:rsidR="00CF28E5">
        <w:t>Sheps</w:t>
      </w:r>
      <w:proofErr w:type="spellEnd"/>
      <w:r w:rsidR="00CF28E5">
        <w:t xml:space="preserve"> et al. (2017) (corrected to 298 K using the preferred value of </w:t>
      </w:r>
      <w:r w:rsidR="00CF28E5" w:rsidRPr="00A55F48">
        <w:rPr>
          <w:i/>
        </w:rPr>
        <w:t>E</w:t>
      </w:r>
      <w:r w:rsidR="00CF28E5" w:rsidRPr="00A55F48">
        <w:rPr>
          <w:vertAlign w:val="subscript"/>
        </w:rPr>
        <w:t>2</w:t>
      </w:r>
      <w:r w:rsidR="00CF28E5">
        <w:t>/R);</w:t>
      </w:r>
      <w:r w:rsidR="00B12AB6">
        <w:t xml:space="preserve"> and is also consistent with the direct kinetic determination of Lewis et al. (2015)</w:t>
      </w:r>
      <w:r w:rsidR="00994208">
        <w:t xml:space="preserve"> within the assigned uncertainty</w:t>
      </w:r>
      <w:r>
        <w:t>. These results at room temperature are in very good agreement, considering the experimental uncertainty arising mainly from uncertainty in [H</w:t>
      </w:r>
      <w:r>
        <w:rPr>
          <w:vertAlign w:val="subscript"/>
        </w:rPr>
        <w:t>2</w:t>
      </w:r>
      <w:r>
        <w:t xml:space="preserve">O] which propagates by a factor of </w:t>
      </w:r>
      <w:r w:rsidR="00CF28E5">
        <w:t>two</w:t>
      </w:r>
      <w:r>
        <w:t xml:space="preserve"> in calculating [(H</w:t>
      </w:r>
      <w:r>
        <w:rPr>
          <w:vertAlign w:val="subscript"/>
        </w:rPr>
        <w:t>2</w:t>
      </w:r>
      <w:r>
        <w:t>O)</w:t>
      </w:r>
      <w:r>
        <w:rPr>
          <w:vertAlign w:val="subscript"/>
        </w:rPr>
        <w:t>2</w:t>
      </w:r>
      <w:r>
        <w:t xml:space="preserve">]. Support for these high values of </w:t>
      </w:r>
      <w:r>
        <w:rPr>
          <w:i/>
        </w:rPr>
        <w:t>k</w:t>
      </w:r>
      <w:r>
        <w:rPr>
          <w:vertAlign w:val="subscript"/>
        </w:rPr>
        <w:t>2</w:t>
      </w:r>
      <w:r>
        <w:t xml:space="preserve"> comes from the relative rate study of Berndt et al.</w:t>
      </w:r>
      <w:r w:rsidR="0018573F">
        <w:t xml:space="preserve"> (</w:t>
      </w:r>
      <w:r>
        <w:t>2014</w:t>
      </w:r>
      <w:r w:rsidR="0018573F">
        <w:t>)</w:t>
      </w:r>
      <w:r>
        <w:t>.</w:t>
      </w:r>
      <w:r w:rsidR="00CF28E5">
        <w:t xml:space="preserve"> The preferred value of </w:t>
      </w:r>
      <w:r w:rsidR="00CF28E5">
        <w:rPr>
          <w:i/>
        </w:rPr>
        <w:t>k</w:t>
      </w:r>
      <w:r w:rsidR="00CF28E5">
        <w:rPr>
          <w:vertAlign w:val="subscript"/>
        </w:rPr>
        <w:t xml:space="preserve">1 </w:t>
      </w:r>
      <w:r w:rsidR="00CF28E5">
        <w:t xml:space="preserve">at 298 K is the mean of the absolute values reported by </w:t>
      </w:r>
      <w:r w:rsidR="00A55F48" w:rsidRPr="004D3466">
        <w:t>Berndt et al. (2015)</w:t>
      </w:r>
      <w:r w:rsidR="00CF28E5">
        <w:t xml:space="preserve"> and </w:t>
      </w:r>
      <w:proofErr w:type="spellStart"/>
      <w:r w:rsidR="00CF28E5">
        <w:t>Sheps</w:t>
      </w:r>
      <w:proofErr w:type="spellEnd"/>
      <w:r w:rsidR="00CF28E5">
        <w:t xml:space="preserve"> et al. (2017), which are in good agreement.</w:t>
      </w:r>
      <w:r w:rsidR="00A55F48">
        <w:t xml:space="preserve"> </w:t>
      </w:r>
      <w:r w:rsidR="00B12AB6">
        <w:t>Most o</w:t>
      </w:r>
      <w:r>
        <w:t xml:space="preserve">ther kinetic studies take no account of the dimer reaction and only provide upper limits pertaining to </w:t>
      </w:r>
      <w:r>
        <w:rPr>
          <w:i/>
        </w:rPr>
        <w:t>k</w:t>
      </w:r>
      <w:r>
        <w:rPr>
          <w:vertAlign w:val="subscript"/>
        </w:rPr>
        <w:t>1</w:t>
      </w:r>
      <w:r>
        <w:t xml:space="preserve">. The relative rate study of Newland et al. (2015) </w:t>
      </w:r>
      <w:r w:rsidR="00A02B28">
        <w:t>considers</w:t>
      </w:r>
      <w:r w:rsidR="00D742A0">
        <w:t xml:space="preserve"> the possibility of</w:t>
      </w:r>
      <w:r>
        <w:t xml:space="preserve"> a significant reaction with water dimer, but only provide</w:t>
      </w:r>
      <w:r w:rsidR="00D742A0">
        <w:t xml:space="preserve">s </w:t>
      </w:r>
      <w:r>
        <w:t xml:space="preserve">an indeterminate value for </w:t>
      </w:r>
      <w:r w:rsidRPr="00793835">
        <w:rPr>
          <w:i/>
        </w:rPr>
        <w:t>k</w:t>
      </w:r>
      <w:r w:rsidR="00A55F48" w:rsidRPr="00A55F48">
        <w:rPr>
          <w:vertAlign w:val="subscript"/>
        </w:rPr>
        <w:t>2</w:t>
      </w:r>
      <w:r w:rsidR="00D742A0" w:rsidRPr="00D742A0">
        <w:t>/</w:t>
      </w:r>
      <w:proofErr w:type="gramStart"/>
      <w:r w:rsidRPr="00793835">
        <w:rPr>
          <w:i/>
        </w:rPr>
        <w:t>k</w:t>
      </w:r>
      <w:r>
        <w:t>(</w:t>
      </w:r>
      <w:proofErr w:type="gramEnd"/>
      <w:r>
        <w:t>CH</w:t>
      </w:r>
      <w:r>
        <w:rPr>
          <w:vertAlign w:val="subscript"/>
        </w:rPr>
        <w:t>2</w:t>
      </w:r>
      <w:r>
        <w:t>OO + SO</w:t>
      </w:r>
      <w:r>
        <w:rPr>
          <w:vertAlign w:val="subscript"/>
        </w:rPr>
        <w:t>2</w:t>
      </w:r>
      <w:r>
        <w:t xml:space="preserve">). The reported relative rate constant ratio </w:t>
      </w:r>
      <w:r>
        <w:rPr>
          <w:i/>
        </w:rPr>
        <w:t>k</w:t>
      </w:r>
      <w:r w:rsidR="00D742A0" w:rsidRPr="00D742A0">
        <w:rPr>
          <w:vertAlign w:val="subscript"/>
        </w:rPr>
        <w:t>1</w:t>
      </w:r>
      <w:r>
        <w:t>/</w:t>
      </w:r>
      <w:proofErr w:type="gramStart"/>
      <w:r>
        <w:rPr>
          <w:i/>
        </w:rPr>
        <w:t>k</w:t>
      </w:r>
      <w:r>
        <w:t>(</w:t>
      </w:r>
      <w:proofErr w:type="gramEnd"/>
      <w:r>
        <w:t>CH</w:t>
      </w:r>
      <w:r>
        <w:rPr>
          <w:vertAlign w:val="subscript"/>
        </w:rPr>
        <w:t>2</w:t>
      </w:r>
      <w:r>
        <w:t>OO + SO</w:t>
      </w:r>
      <w:r>
        <w:rPr>
          <w:vertAlign w:val="subscript"/>
        </w:rPr>
        <w:t>2</w:t>
      </w:r>
      <w:r>
        <w:t>) = (</w:t>
      </w:r>
      <w:r w:rsidR="00A55F48">
        <w:t>2.5</w:t>
      </w:r>
      <w:r>
        <w:t xml:space="preserve"> ± </w:t>
      </w:r>
      <w:r w:rsidR="00A55F48">
        <w:t>0.7</w:t>
      </w:r>
      <w:r>
        <w:t xml:space="preserve">) </w:t>
      </w:r>
      <w:r w:rsidR="00C962E9">
        <w:t>×</w:t>
      </w:r>
      <w:r>
        <w:t xml:space="preserve"> 10</w:t>
      </w:r>
      <w:r>
        <w:rPr>
          <w:vertAlign w:val="superscript"/>
        </w:rPr>
        <w:t>-5</w:t>
      </w:r>
      <w:r>
        <w:t xml:space="preserve"> at 298</w:t>
      </w:r>
      <w:r w:rsidR="00793835">
        <w:t xml:space="preserve"> </w:t>
      </w:r>
      <w:r>
        <w:t>K</w:t>
      </w:r>
      <w:r w:rsidR="00B12AB6">
        <w:t xml:space="preserve"> in their expanded analysis</w:t>
      </w:r>
      <w:r>
        <w:t xml:space="preserve">, implies the contribution of </w:t>
      </w:r>
      <w:r>
        <w:rPr>
          <w:i/>
        </w:rPr>
        <w:t>k</w:t>
      </w:r>
      <w:r>
        <w:rPr>
          <w:vertAlign w:val="subscript"/>
        </w:rPr>
        <w:t xml:space="preserve">1 </w:t>
      </w:r>
      <w:r>
        <w:t>to the overall rate of CH</w:t>
      </w:r>
      <w:r>
        <w:rPr>
          <w:vertAlign w:val="subscript"/>
        </w:rPr>
        <w:t>2</w:t>
      </w:r>
      <w:r>
        <w:t>OO loss too small to detect at [H</w:t>
      </w:r>
      <w:r>
        <w:rPr>
          <w:vertAlign w:val="subscript"/>
        </w:rPr>
        <w:t>2</w:t>
      </w:r>
      <w:r>
        <w:t xml:space="preserve">O] used in the experiments of </w:t>
      </w:r>
      <w:proofErr w:type="spellStart"/>
      <w:r>
        <w:t>Welz</w:t>
      </w:r>
      <w:proofErr w:type="spellEnd"/>
      <w:r>
        <w:t xml:space="preserve"> et al. (2012).</w:t>
      </w:r>
    </w:p>
    <w:p w14:paraId="4C92017D" w14:textId="3B328ED8" w:rsidR="00994208" w:rsidRDefault="00793835" w:rsidP="002D26FD">
      <w:pPr>
        <w:tabs>
          <w:tab w:val="left" w:pos="-1440"/>
          <w:tab w:val="left" w:pos="-720"/>
          <w:tab w:val="left" w:pos="444"/>
        </w:tabs>
        <w:ind w:firstLine="444"/>
        <w:jc w:val="both"/>
      </w:pPr>
      <w:r>
        <w:t xml:space="preserve">Work of </w:t>
      </w:r>
      <w:proofErr w:type="spellStart"/>
      <w:r>
        <w:t>Neeb</w:t>
      </w:r>
      <w:proofErr w:type="spellEnd"/>
      <w:r>
        <w:t xml:space="preserve"> et al.</w:t>
      </w:r>
      <w:r w:rsidR="00C962E9">
        <w:t xml:space="preserve"> </w:t>
      </w:r>
      <w:r>
        <w:t>(1997) shows that the reaction of CH</w:t>
      </w:r>
      <w:r>
        <w:rPr>
          <w:vertAlign w:val="subscript"/>
        </w:rPr>
        <w:t>2</w:t>
      </w:r>
      <w:r>
        <w:t>OO with H</w:t>
      </w:r>
      <w:r>
        <w:rPr>
          <w:vertAlign w:val="subscript"/>
        </w:rPr>
        <w:t>2</w:t>
      </w:r>
      <w:r>
        <w:t>O leads initially to hydroxymethyl hydroperoxide (HOCH</w:t>
      </w:r>
      <w:r>
        <w:rPr>
          <w:vertAlign w:val="subscript"/>
        </w:rPr>
        <w:t>2</w:t>
      </w:r>
      <w:r>
        <w:t>OOH). Estimates using quantum chemistry calculations of the rate coefficient for reaction of CH</w:t>
      </w:r>
      <w:r>
        <w:rPr>
          <w:vertAlign w:val="subscript"/>
        </w:rPr>
        <w:t>2</w:t>
      </w:r>
      <w:r>
        <w:t xml:space="preserve">OO with water </w:t>
      </w:r>
      <w:proofErr w:type="spellStart"/>
      <w:r>
        <w:t>vapour</w:t>
      </w:r>
      <w:proofErr w:type="spellEnd"/>
      <w:r>
        <w:t xml:space="preserve"> dimer forming HOCH</w:t>
      </w:r>
      <w:r>
        <w:rPr>
          <w:vertAlign w:val="subscript"/>
        </w:rPr>
        <w:t>2</w:t>
      </w:r>
      <w:r>
        <w:t>OOH product (</w:t>
      </w:r>
      <w:proofErr w:type="spellStart"/>
      <w:r>
        <w:t>Ryzh</w:t>
      </w:r>
      <w:r w:rsidR="00EA651B">
        <w:t>k</w:t>
      </w:r>
      <w:r>
        <w:t>ov</w:t>
      </w:r>
      <w:proofErr w:type="spellEnd"/>
      <w:r>
        <w:t xml:space="preserve"> and </w:t>
      </w:r>
      <w:proofErr w:type="spellStart"/>
      <w:r>
        <w:t>Ariya</w:t>
      </w:r>
      <w:proofErr w:type="spellEnd"/>
      <w:r>
        <w:t xml:space="preserve">, 2004), are of </w:t>
      </w:r>
      <w:r w:rsidR="00DF18E4">
        <w:t xml:space="preserve">a </w:t>
      </w:r>
      <w:r>
        <w:t>similar order of magnitude to the experimental values.</w:t>
      </w:r>
      <w:r w:rsidR="00D742A0">
        <w:t xml:space="preserve"> HOCH</w:t>
      </w:r>
      <w:r w:rsidR="00D742A0">
        <w:rPr>
          <w:vertAlign w:val="subscript"/>
        </w:rPr>
        <w:t>2</w:t>
      </w:r>
      <w:r w:rsidR="00D742A0">
        <w:t>OOH is expected to be formed chemically activated, and is either subsequently thermalized or decomposes to form HCHO and H</w:t>
      </w:r>
      <w:r w:rsidR="00D742A0" w:rsidRPr="00D742A0">
        <w:rPr>
          <w:vertAlign w:val="subscript"/>
        </w:rPr>
        <w:t>2</w:t>
      </w:r>
      <w:r w:rsidR="00D742A0">
        <w:t>O</w:t>
      </w:r>
      <w:r w:rsidR="00D742A0" w:rsidRPr="00D742A0">
        <w:rPr>
          <w:vertAlign w:val="subscript"/>
        </w:rPr>
        <w:t>2</w:t>
      </w:r>
      <w:r w:rsidR="00D742A0">
        <w:t xml:space="preserve"> or HC(O)OH and H</w:t>
      </w:r>
      <w:r w:rsidR="00D742A0" w:rsidRPr="00D742A0">
        <w:rPr>
          <w:vertAlign w:val="subscript"/>
        </w:rPr>
        <w:t>2</w:t>
      </w:r>
      <w:r w:rsidR="00D742A0">
        <w:t xml:space="preserve">O. In their study of the </w:t>
      </w:r>
      <w:proofErr w:type="spellStart"/>
      <w:r w:rsidR="00D742A0">
        <w:t>ozonolysis</w:t>
      </w:r>
      <w:proofErr w:type="spellEnd"/>
      <w:r w:rsidR="00D742A0">
        <w:t xml:space="preserve"> of isoprene, </w:t>
      </w:r>
      <w:r w:rsidR="003E48F9">
        <w:t>from</w:t>
      </w:r>
      <w:r w:rsidR="00D742A0">
        <w:t xml:space="preserve"> which CH</w:t>
      </w:r>
      <w:r w:rsidR="00D742A0" w:rsidRPr="003E48F9">
        <w:rPr>
          <w:vertAlign w:val="subscript"/>
        </w:rPr>
        <w:t>2</w:t>
      </w:r>
      <w:r w:rsidR="00D742A0">
        <w:t xml:space="preserve">OO is believed to be the dominant </w:t>
      </w:r>
      <w:proofErr w:type="spellStart"/>
      <w:r w:rsidR="00D742A0">
        <w:t>sCI</w:t>
      </w:r>
      <w:proofErr w:type="spellEnd"/>
      <w:r w:rsidR="00D742A0">
        <w:t xml:space="preserve"> formed, </w:t>
      </w:r>
      <w:r w:rsidR="00D742A0" w:rsidRPr="00D742A0">
        <w:t>Nguyen et al. (2016)</w:t>
      </w:r>
      <w:r w:rsidR="00D742A0">
        <w:t xml:space="preserve"> </w:t>
      </w:r>
      <w:r w:rsidR="00994208">
        <w:t xml:space="preserve">were able </w:t>
      </w:r>
      <w:r w:rsidR="00994208">
        <w:lastRenderedPageBreak/>
        <w:t xml:space="preserve">to </w:t>
      </w:r>
      <w:r w:rsidR="003E48F9">
        <w:t>derive</w:t>
      </w:r>
      <w:r w:rsidR="00D742A0">
        <w:t xml:space="preserve"> the product channel contributions</w:t>
      </w:r>
      <w:r w:rsidR="00994208">
        <w:t xml:space="preserve"> tabulated above</w:t>
      </w:r>
      <w:r w:rsidR="00D742A0">
        <w:t xml:space="preserve"> for reactions (1) and (2)</w:t>
      </w:r>
      <w:r w:rsidR="00994208">
        <w:t xml:space="preserve">. </w:t>
      </w:r>
      <w:r w:rsidR="00CF28E5">
        <w:t xml:space="preserve">However, there is some disagreement with those subsequently reported for reaction (2) by </w:t>
      </w:r>
      <w:proofErr w:type="spellStart"/>
      <w:r w:rsidR="00CF28E5">
        <w:t>Sheps</w:t>
      </w:r>
      <w:proofErr w:type="spellEnd"/>
      <w:r w:rsidR="00CF28E5">
        <w:t xml:space="preserve"> et al. (2017), in which CH</w:t>
      </w:r>
      <w:r w:rsidR="00CF28E5" w:rsidRPr="00CF28E5">
        <w:rPr>
          <w:vertAlign w:val="subscript"/>
        </w:rPr>
        <w:t>2</w:t>
      </w:r>
      <w:r w:rsidR="00CF28E5">
        <w:t>OO was produced by photolysis of CH</w:t>
      </w:r>
      <w:r w:rsidR="00CF28E5" w:rsidRPr="00CF28E5">
        <w:rPr>
          <w:vertAlign w:val="subscript"/>
        </w:rPr>
        <w:t>2</w:t>
      </w:r>
      <w:r w:rsidR="00CF28E5">
        <w:t>I</w:t>
      </w:r>
      <w:r w:rsidR="00CF28E5" w:rsidRPr="00CF28E5">
        <w:rPr>
          <w:vertAlign w:val="subscript"/>
        </w:rPr>
        <w:t>2</w:t>
      </w:r>
      <w:r w:rsidR="00CF28E5">
        <w:t>/O</w:t>
      </w:r>
      <w:r w:rsidR="00CF28E5" w:rsidRPr="00CF28E5">
        <w:rPr>
          <w:vertAlign w:val="subscript"/>
        </w:rPr>
        <w:t>2</w:t>
      </w:r>
      <w:r w:rsidR="00CF28E5">
        <w:t>. Although both studies report a</w:t>
      </w:r>
      <w:r w:rsidR="00062A88">
        <w:t>n important</w:t>
      </w:r>
      <w:r w:rsidR="00CF28E5">
        <w:t xml:space="preserve"> contribution from channel (2a), forming HOCH</w:t>
      </w:r>
      <w:r w:rsidR="00CF28E5" w:rsidRPr="00CF28E5">
        <w:rPr>
          <w:vertAlign w:val="subscript"/>
        </w:rPr>
        <w:t>2</w:t>
      </w:r>
      <w:r w:rsidR="00CF28E5">
        <w:t>OOH, they provide contradictory conclusions for the contributions of the HCHO</w:t>
      </w:r>
      <w:r w:rsidR="00D24F0B">
        <w:t xml:space="preserve"> and HC(O)OH</w:t>
      </w:r>
      <w:r w:rsidR="00CF28E5">
        <w:t xml:space="preserve"> </w:t>
      </w:r>
      <w:r w:rsidR="00D24F0B">
        <w:t>forming channels (2b) and (2c). F</w:t>
      </w:r>
      <w:r w:rsidR="00994208">
        <w:t xml:space="preserve">urther studies are required </w:t>
      </w:r>
      <w:r w:rsidR="00D24F0B">
        <w:t>before</w:t>
      </w:r>
      <w:r w:rsidR="00994208">
        <w:t xml:space="preserve"> firm recommendations </w:t>
      </w:r>
      <w:r w:rsidR="00D24F0B">
        <w:t>can</w:t>
      </w:r>
      <w:r w:rsidR="00994208">
        <w:t xml:space="preserve"> be made.</w:t>
      </w:r>
    </w:p>
    <w:p w14:paraId="184FE43E" w14:textId="77777777" w:rsidR="00945495" w:rsidRDefault="00945495" w:rsidP="00945495">
      <w:pPr>
        <w:tabs>
          <w:tab w:val="left" w:pos="-1440"/>
          <w:tab w:val="left" w:pos="-720"/>
          <w:tab w:val="left" w:pos="444"/>
        </w:tabs>
        <w:ind w:firstLine="444"/>
        <w:jc w:val="both"/>
      </w:pPr>
      <w:r w:rsidRPr="00945495">
        <w:t xml:space="preserve"> </w:t>
      </w:r>
    </w:p>
    <w:p w14:paraId="4BF3CB1B" w14:textId="77777777" w:rsidR="00945495" w:rsidRDefault="00945495" w:rsidP="00945495">
      <w:pPr>
        <w:jc w:val="center"/>
      </w:pPr>
      <w:r>
        <w:rPr>
          <w:b/>
          <w:bCs/>
        </w:rPr>
        <w:t>References</w:t>
      </w:r>
    </w:p>
    <w:p w14:paraId="62C3A791" w14:textId="77777777" w:rsidR="007A2AFA" w:rsidRDefault="007A2AFA" w:rsidP="007A2AFA">
      <w:pPr>
        <w:jc w:val="both"/>
        <w:rPr>
          <w:lang w:val="de-DE"/>
        </w:rPr>
      </w:pPr>
    </w:p>
    <w:p w14:paraId="070060F0" w14:textId="77777777" w:rsidR="00793835" w:rsidRDefault="00793835" w:rsidP="00B626E8">
      <w:pPr>
        <w:tabs>
          <w:tab w:val="left" w:pos="0"/>
        </w:tabs>
        <w:ind w:left="289" w:hanging="289"/>
        <w:jc w:val="both"/>
      </w:pPr>
      <w:r>
        <w:t xml:space="preserve">Berndt, T., </w:t>
      </w:r>
      <w:proofErr w:type="spellStart"/>
      <w:r>
        <w:t>Voigtlander</w:t>
      </w:r>
      <w:proofErr w:type="spellEnd"/>
      <w:r>
        <w:t xml:space="preserve">, J., </w:t>
      </w:r>
      <w:proofErr w:type="spellStart"/>
      <w:r>
        <w:t>Stratmann</w:t>
      </w:r>
      <w:proofErr w:type="spellEnd"/>
      <w:r>
        <w:t xml:space="preserve">, F., </w:t>
      </w:r>
      <w:proofErr w:type="spellStart"/>
      <w:r>
        <w:t>Junninen</w:t>
      </w:r>
      <w:proofErr w:type="spellEnd"/>
      <w:r>
        <w:t xml:space="preserve">, H., Mauldin III, R.L., </w:t>
      </w:r>
      <w:proofErr w:type="spellStart"/>
      <w:r>
        <w:t>Sipila</w:t>
      </w:r>
      <w:proofErr w:type="spellEnd"/>
      <w:r>
        <w:t xml:space="preserve">, M., </w:t>
      </w:r>
      <w:proofErr w:type="spellStart"/>
      <w:proofErr w:type="gramStart"/>
      <w:r>
        <w:t>Kulmala</w:t>
      </w:r>
      <w:proofErr w:type="spellEnd"/>
      <w:r>
        <w:t>,.</w:t>
      </w:r>
      <w:proofErr w:type="gramEnd"/>
      <w:r>
        <w:t xml:space="preserve"> M., and Herrmann, H., </w:t>
      </w:r>
      <w:r>
        <w:rPr>
          <w:bCs/>
          <w:iCs/>
        </w:rPr>
        <w:t>Phys.</w:t>
      </w:r>
      <w:r w:rsidR="00C62CCF">
        <w:rPr>
          <w:bCs/>
          <w:iCs/>
        </w:rPr>
        <w:t xml:space="preserve"> </w:t>
      </w:r>
      <w:r>
        <w:rPr>
          <w:bCs/>
          <w:iCs/>
        </w:rPr>
        <w:t>Chem.</w:t>
      </w:r>
      <w:r w:rsidR="00C62CCF">
        <w:rPr>
          <w:bCs/>
          <w:iCs/>
        </w:rPr>
        <w:t xml:space="preserve"> </w:t>
      </w:r>
      <w:r>
        <w:rPr>
          <w:bCs/>
          <w:iCs/>
        </w:rPr>
        <w:t>Chem.</w:t>
      </w:r>
      <w:r w:rsidR="00C62CCF">
        <w:rPr>
          <w:bCs/>
          <w:iCs/>
        </w:rPr>
        <w:t xml:space="preserve"> </w:t>
      </w:r>
      <w:r>
        <w:rPr>
          <w:bCs/>
          <w:iCs/>
        </w:rPr>
        <w:t>Phys.,</w:t>
      </w:r>
      <w:r>
        <w:t xml:space="preserve"> 16, 19130, 2014.</w:t>
      </w:r>
    </w:p>
    <w:p w14:paraId="349382F2" w14:textId="77777777" w:rsidR="00793835" w:rsidRDefault="00793835" w:rsidP="00B626E8">
      <w:pPr>
        <w:tabs>
          <w:tab w:val="left" w:pos="0"/>
        </w:tabs>
        <w:ind w:left="289" w:hanging="289"/>
        <w:jc w:val="both"/>
      </w:pPr>
      <w:r>
        <w:t>Chao, W., Hsieh, J-T., Chang, C-H., Lin, Jim Jr-M., Science, 347, 751-754, 2015.</w:t>
      </w:r>
    </w:p>
    <w:p w14:paraId="1A135AC1" w14:textId="77777777" w:rsidR="00793835" w:rsidRDefault="00793835" w:rsidP="00B626E8">
      <w:pPr>
        <w:tabs>
          <w:tab w:val="left" w:pos="0"/>
        </w:tabs>
        <w:ind w:left="289" w:hanging="289"/>
        <w:jc w:val="both"/>
        <w:rPr>
          <w:lang w:val="en-GB"/>
        </w:rPr>
      </w:pPr>
      <w:r>
        <w:t>Lewis, T.R., Blitz, M.A., Heard, D.E., and Seakins, P.W., Phys.</w:t>
      </w:r>
      <w:r w:rsidR="00C62CCF">
        <w:t xml:space="preserve"> </w:t>
      </w:r>
      <w:r>
        <w:t>Chem.</w:t>
      </w:r>
      <w:r w:rsidR="00C62CCF">
        <w:t xml:space="preserve"> </w:t>
      </w:r>
      <w:r>
        <w:t>Chem.</w:t>
      </w:r>
      <w:r w:rsidR="00C62CCF">
        <w:t xml:space="preserve"> </w:t>
      </w:r>
      <w:r>
        <w:t>Phys., 17 4859, 2015.</w:t>
      </w:r>
    </w:p>
    <w:p w14:paraId="738D539C" w14:textId="77777777" w:rsidR="00793835" w:rsidRDefault="00793835" w:rsidP="00B626E8">
      <w:pPr>
        <w:tabs>
          <w:tab w:val="left" w:pos="0"/>
        </w:tabs>
        <w:ind w:left="289" w:hanging="289"/>
        <w:jc w:val="both"/>
      </w:pPr>
      <w:proofErr w:type="spellStart"/>
      <w:r>
        <w:t>Neeb</w:t>
      </w:r>
      <w:proofErr w:type="spellEnd"/>
      <w:r>
        <w:t xml:space="preserve">, P., Sauer, F., </w:t>
      </w:r>
      <w:proofErr w:type="spellStart"/>
      <w:r>
        <w:t>Horie</w:t>
      </w:r>
      <w:proofErr w:type="spellEnd"/>
      <w:r>
        <w:t>, O. and Moortgat, G. K., Atmos. Environ.</w:t>
      </w:r>
      <w:r w:rsidR="0018573F">
        <w:t>,</w:t>
      </w:r>
      <w:r>
        <w:t xml:space="preserve"> </w:t>
      </w:r>
      <w:r w:rsidRPr="0018573F">
        <w:t>31</w:t>
      </w:r>
      <w:r>
        <w:t>, 1417,1997.</w:t>
      </w:r>
    </w:p>
    <w:p w14:paraId="0FCD7C0A" w14:textId="77777777" w:rsidR="00793835" w:rsidRDefault="00793835" w:rsidP="00B626E8">
      <w:pPr>
        <w:tabs>
          <w:tab w:val="left" w:pos="0"/>
        </w:tabs>
        <w:ind w:left="289" w:hanging="289"/>
        <w:jc w:val="both"/>
      </w:pPr>
      <w:r>
        <w:t>Newland, M.</w:t>
      </w:r>
      <w:r w:rsidR="0018573F">
        <w:t xml:space="preserve"> </w:t>
      </w:r>
      <w:r>
        <w:t>J., Rickard, A.</w:t>
      </w:r>
      <w:r w:rsidR="0018573F">
        <w:t xml:space="preserve"> </w:t>
      </w:r>
      <w:r>
        <w:t xml:space="preserve">R., </w:t>
      </w:r>
      <w:proofErr w:type="spellStart"/>
      <w:r>
        <w:t>Alam</w:t>
      </w:r>
      <w:proofErr w:type="spellEnd"/>
      <w:r>
        <w:t>, M.</w:t>
      </w:r>
      <w:r w:rsidR="0018573F">
        <w:t xml:space="preserve"> </w:t>
      </w:r>
      <w:r>
        <w:t xml:space="preserve">S., Vereecken, L., Munoz, A., </w:t>
      </w:r>
      <w:proofErr w:type="spellStart"/>
      <w:r>
        <w:t>Rodenas</w:t>
      </w:r>
      <w:proofErr w:type="spellEnd"/>
      <w:r>
        <w:t xml:space="preserve">, M., and </w:t>
      </w:r>
      <w:proofErr w:type="spellStart"/>
      <w:r>
        <w:t>Bloss</w:t>
      </w:r>
      <w:proofErr w:type="spellEnd"/>
      <w:r>
        <w:t>, W.</w:t>
      </w:r>
      <w:r w:rsidR="0018573F">
        <w:t xml:space="preserve"> </w:t>
      </w:r>
      <w:r>
        <w:t xml:space="preserve">J.: Phys. Chem. Chem. Phys., </w:t>
      </w:r>
      <w:r w:rsidRPr="00793835">
        <w:t>17</w:t>
      </w:r>
      <w:r>
        <w:t>, 4076, 2015.</w:t>
      </w:r>
    </w:p>
    <w:p w14:paraId="591C428E" w14:textId="77777777" w:rsidR="00994208" w:rsidRDefault="00994208" w:rsidP="00B626E8">
      <w:pPr>
        <w:tabs>
          <w:tab w:val="left" w:pos="0"/>
        </w:tabs>
        <w:ind w:left="289" w:hanging="289"/>
        <w:jc w:val="both"/>
      </w:pPr>
      <w:r>
        <w:rPr>
          <w:color w:val="auto"/>
          <w:spacing w:val="-3"/>
        </w:rPr>
        <w:t xml:space="preserve">Nguyen, T. B., Tyndall, G. S., Crounse, J. D., Teng, A. P., Bates, K. H., </w:t>
      </w:r>
      <w:proofErr w:type="spellStart"/>
      <w:r>
        <w:rPr>
          <w:color w:val="auto"/>
          <w:spacing w:val="-3"/>
        </w:rPr>
        <w:t>Schwantes</w:t>
      </w:r>
      <w:proofErr w:type="spellEnd"/>
      <w:r>
        <w:rPr>
          <w:color w:val="auto"/>
          <w:spacing w:val="-3"/>
        </w:rPr>
        <w:t xml:space="preserve">, R. H., Coggon, M. M., Zhang, L., </w:t>
      </w:r>
      <w:proofErr w:type="spellStart"/>
      <w:r>
        <w:rPr>
          <w:color w:val="auto"/>
          <w:spacing w:val="-3"/>
        </w:rPr>
        <w:t>Feiner</w:t>
      </w:r>
      <w:proofErr w:type="spellEnd"/>
      <w:r>
        <w:rPr>
          <w:color w:val="auto"/>
          <w:spacing w:val="-3"/>
        </w:rPr>
        <w:t xml:space="preserve">, P., </w:t>
      </w:r>
      <w:proofErr w:type="spellStart"/>
      <w:r>
        <w:rPr>
          <w:color w:val="auto"/>
          <w:spacing w:val="-3"/>
        </w:rPr>
        <w:t>Milller</w:t>
      </w:r>
      <w:proofErr w:type="spellEnd"/>
      <w:r>
        <w:rPr>
          <w:color w:val="auto"/>
          <w:spacing w:val="-3"/>
        </w:rPr>
        <w:t xml:space="preserve">, D. O., Skog, K. M., Rivera-Rios, J. C., </w:t>
      </w:r>
      <w:proofErr w:type="spellStart"/>
      <w:r>
        <w:rPr>
          <w:color w:val="auto"/>
          <w:spacing w:val="-3"/>
        </w:rPr>
        <w:t>Dorris</w:t>
      </w:r>
      <w:proofErr w:type="spellEnd"/>
      <w:r>
        <w:rPr>
          <w:color w:val="auto"/>
          <w:spacing w:val="-3"/>
        </w:rPr>
        <w:t xml:space="preserve">, M., Olson, K. F., Koss, A., Wild, R. J., Brown, S. S., Goldstein, A. H., de </w:t>
      </w:r>
      <w:proofErr w:type="spellStart"/>
      <w:r>
        <w:rPr>
          <w:color w:val="auto"/>
          <w:spacing w:val="-3"/>
        </w:rPr>
        <w:t>Gouw</w:t>
      </w:r>
      <w:proofErr w:type="spellEnd"/>
      <w:r>
        <w:rPr>
          <w:color w:val="auto"/>
          <w:spacing w:val="-3"/>
        </w:rPr>
        <w:t xml:space="preserve">, J. A., </w:t>
      </w:r>
      <w:proofErr w:type="spellStart"/>
      <w:r>
        <w:rPr>
          <w:color w:val="auto"/>
          <w:spacing w:val="-3"/>
        </w:rPr>
        <w:t>Brune</w:t>
      </w:r>
      <w:proofErr w:type="spellEnd"/>
      <w:r>
        <w:rPr>
          <w:color w:val="auto"/>
          <w:spacing w:val="-3"/>
        </w:rPr>
        <w:t xml:space="preserve">, W. H., </w:t>
      </w:r>
      <w:proofErr w:type="spellStart"/>
      <w:r>
        <w:rPr>
          <w:color w:val="auto"/>
          <w:spacing w:val="-3"/>
        </w:rPr>
        <w:t>Keutsch</w:t>
      </w:r>
      <w:proofErr w:type="spellEnd"/>
      <w:r>
        <w:rPr>
          <w:color w:val="auto"/>
          <w:spacing w:val="-3"/>
        </w:rPr>
        <w:t>, F. N., Seinfeld, J, H. and Wennberg, P. O.: Phys. Chem. Chem. Phys., 18, 10241, 2016.</w:t>
      </w:r>
    </w:p>
    <w:p w14:paraId="2C3220E5" w14:textId="77777777" w:rsidR="00793835" w:rsidRDefault="00793835" w:rsidP="00B626E8">
      <w:pPr>
        <w:tabs>
          <w:tab w:val="left" w:pos="0"/>
        </w:tabs>
        <w:ind w:left="289" w:hanging="289"/>
        <w:jc w:val="both"/>
      </w:pPr>
      <w:r>
        <w:t>Ou</w:t>
      </w:r>
      <w:r w:rsidR="00994208">
        <w:t>y</w:t>
      </w:r>
      <w:r>
        <w:t>ang, B., McLeod, M.</w:t>
      </w:r>
      <w:r w:rsidR="0018573F">
        <w:t xml:space="preserve"> </w:t>
      </w:r>
      <w:r>
        <w:t>W., Jones, R.</w:t>
      </w:r>
      <w:r w:rsidR="0018573F">
        <w:t xml:space="preserve"> </w:t>
      </w:r>
      <w:r>
        <w:t xml:space="preserve">L., and </w:t>
      </w:r>
      <w:proofErr w:type="spellStart"/>
      <w:r>
        <w:t>Bloss</w:t>
      </w:r>
      <w:proofErr w:type="spellEnd"/>
      <w:r>
        <w:t>, W.</w:t>
      </w:r>
      <w:r w:rsidR="0018573F">
        <w:t xml:space="preserve"> </w:t>
      </w:r>
      <w:r>
        <w:t xml:space="preserve">J.: Phys. Chem. Chem. Phys., </w:t>
      </w:r>
      <w:r w:rsidRPr="00793835">
        <w:t>15</w:t>
      </w:r>
      <w:r>
        <w:t>, 17070, 2013.</w:t>
      </w:r>
    </w:p>
    <w:p w14:paraId="1A24CCD5" w14:textId="77777777" w:rsidR="00C962E9" w:rsidRDefault="00C962E9" w:rsidP="00B626E8">
      <w:pPr>
        <w:tabs>
          <w:tab w:val="left" w:pos="0"/>
        </w:tabs>
        <w:ind w:left="289" w:hanging="289"/>
        <w:jc w:val="both"/>
      </w:pPr>
      <w:proofErr w:type="spellStart"/>
      <w:r>
        <w:t>Ruscic</w:t>
      </w:r>
      <w:proofErr w:type="spellEnd"/>
      <w:r w:rsidR="009C1B4E">
        <w:t xml:space="preserve">, B.: </w:t>
      </w:r>
      <w:r w:rsidR="009C1B4E" w:rsidRPr="009C1B4E">
        <w:t>J. Phys. Chem. A, 117</w:t>
      </w:r>
      <w:r w:rsidR="009C1B4E">
        <w:t>(</w:t>
      </w:r>
      <w:r w:rsidR="009C1B4E" w:rsidRPr="009C1B4E">
        <w:t>46</w:t>
      </w:r>
      <w:r w:rsidR="009C1B4E">
        <w:t>)</w:t>
      </w:r>
      <w:r w:rsidR="009C1B4E" w:rsidRPr="009C1B4E">
        <w:t>, 11940</w:t>
      </w:r>
      <w:r w:rsidR="009C1B4E">
        <w:t>,</w:t>
      </w:r>
      <w:r>
        <w:t xml:space="preserve"> 2013</w:t>
      </w:r>
      <w:r w:rsidR="009C1B4E">
        <w:t>.</w:t>
      </w:r>
    </w:p>
    <w:p w14:paraId="10D2C07A" w14:textId="77777777" w:rsidR="00793835" w:rsidRDefault="00793835" w:rsidP="00B626E8">
      <w:pPr>
        <w:tabs>
          <w:tab w:val="left" w:pos="0"/>
        </w:tabs>
        <w:ind w:left="289" w:hanging="289"/>
        <w:jc w:val="both"/>
      </w:pPr>
      <w:proofErr w:type="spellStart"/>
      <w:r>
        <w:t>Ryzhkov</w:t>
      </w:r>
      <w:proofErr w:type="spellEnd"/>
      <w:r>
        <w:t xml:space="preserve">, A. B., and </w:t>
      </w:r>
      <w:proofErr w:type="spellStart"/>
      <w:r>
        <w:t>Ariya</w:t>
      </w:r>
      <w:proofErr w:type="spellEnd"/>
      <w:r>
        <w:t>, P. A.</w:t>
      </w:r>
      <w:r w:rsidR="0018573F">
        <w:t>:</w:t>
      </w:r>
      <w:r>
        <w:t xml:space="preserve"> Phys. Chem. Chem. Phys., </w:t>
      </w:r>
      <w:r w:rsidRPr="00793835">
        <w:t>6</w:t>
      </w:r>
      <w:r>
        <w:t>, 5042, 2004.</w:t>
      </w:r>
    </w:p>
    <w:p w14:paraId="002ECB89" w14:textId="77777777" w:rsidR="00793835" w:rsidRDefault="00793835" w:rsidP="00B626E8">
      <w:pPr>
        <w:tabs>
          <w:tab w:val="left" w:pos="0"/>
        </w:tabs>
        <w:ind w:left="289" w:hanging="289"/>
        <w:jc w:val="both"/>
      </w:pPr>
      <w:proofErr w:type="spellStart"/>
      <w:r>
        <w:t>Scribano</w:t>
      </w:r>
      <w:proofErr w:type="spellEnd"/>
      <w:r>
        <w:t xml:space="preserve">, Y., Goldman, N., </w:t>
      </w:r>
      <w:proofErr w:type="spellStart"/>
      <w:r>
        <w:t>Saykally</w:t>
      </w:r>
      <w:proofErr w:type="spellEnd"/>
      <w:r>
        <w:t>,</w:t>
      </w:r>
      <w:r w:rsidR="0018573F">
        <w:t xml:space="preserve"> R. J.,</w:t>
      </w:r>
      <w:r>
        <w:t xml:space="preserve"> and </w:t>
      </w:r>
      <w:proofErr w:type="spellStart"/>
      <w:r>
        <w:t>Leforestier</w:t>
      </w:r>
      <w:proofErr w:type="spellEnd"/>
      <w:r>
        <w:t>, C.: J. Phys. Chem. A, 110, 5411, 2006.</w:t>
      </w:r>
    </w:p>
    <w:p w14:paraId="1E42F7A0" w14:textId="77777777" w:rsidR="001F293B" w:rsidRDefault="001F293B" w:rsidP="00B626E8">
      <w:pPr>
        <w:tabs>
          <w:tab w:val="left" w:pos="0"/>
        </w:tabs>
        <w:ind w:left="289" w:hanging="289"/>
        <w:jc w:val="both"/>
      </w:pPr>
      <w:proofErr w:type="spellStart"/>
      <w:r w:rsidRPr="001F293B">
        <w:t>Sheps</w:t>
      </w:r>
      <w:proofErr w:type="spellEnd"/>
      <w:r w:rsidRPr="001F293B">
        <w:t xml:space="preserve">, L., </w:t>
      </w:r>
      <w:proofErr w:type="spellStart"/>
      <w:r w:rsidRPr="001F293B">
        <w:t>Rotavera</w:t>
      </w:r>
      <w:proofErr w:type="spellEnd"/>
      <w:r w:rsidRPr="001F293B">
        <w:t xml:space="preserve">, B., </w:t>
      </w:r>
      <w:proofErr w:type="spellStart"/>
      <w:r w:rsidRPr="001F293B">
        <w:t>Eskola</w:t>
      </w:r>
      <w:proofErr w:type="spellEnd"/>
      <w:r w:rsidRPr="001F293B">
        <w:t xml:space="preserve">, A. J., Osborn, D. L., </w:t>
      </w:r>
      <w:proofErr w:type="spellStart"/>
      <w:r w:rsidRPr="001F293B">
        <w:t>Taatjes</w:t>
      </w:r>
      <w:proofErr w:type="spellEnd"/>
      <w:r w:rsidRPr="001F293B">
        <w:t xml:space="preserve">, C. A., Au, K., Shallcross, D. E., Khan, M. A. H., and Percival, C. J: Phys. Chem. Chem. Phys., 19, 21970, </w:t>
      </w:r>
      <w:proofErr w:type="spellStart"/>
      <w:r w:rsidRPr="001F293B">
        <w:t>doi</w:t>
      </w:r>
      <w:proofErr w:type="spellEnd"/>
      <w:r w:rsidRPr="001F293B">
        <w:t>: 10.1039/c7cp03265j, 2017.</w:t>
      </w:r>
    </w:p>
    <w:p w14:paraId="0A227917" w14:textId="77777777" w:rsidR="00793835" w:rsidRDefault="00793835" w:rsidP="00B626E8">
      <w:pPr>
        <w:tabs>
          <w:tab w:val="left" w:pos="0"/>
        </w:tabs>
        <w:ind w:left="289" w:hanging="289"/>
        <w:jc w:val="both"/>
      </w:pPr>
      <w:r>
        <w:t>Smith, M.C., Chang, C-H.,</w:t>
      </w:r>
      <w:r w:rsidR="0018573F">
        <w:t xml:space="preserve"> </w:t>
      </w:r>
      <w:r>
        <w:t xml:space="preserve">Chao, Wen., Lin, L-C., Takahashi, K., </w:t>
      </w:r>
      <w:proofErr w:type="spellStart"/>
      <w:r>
        <w:t>Boering</w:t>
      </w:r>
      <w:proofErr w:type="spellEnd"/>
      <w:r>
        <w:t>, K.A. and Lin, Jim Jr-M.: J Phys. Chem. Lett., 6, 2708, 2015.</w:t>
      </w:r>
    </w:p>
    <w:p w14:paraId="678C1F8D" w14:textId="77777777" w:rsidR="00793835" w:rsidRDefault="00793835" w:rsidP="00B626E8">
      <w:pPr>
        <w:tabs>
          <w:tab w:val="left" w:pos="0"/>
          <w:tab w:val="left" w:pos="446"/>
        </w:tabs>
        <w:ind w:left="289" w:hanging="289"/>
        <w:jc w:val="both"/>
      </w:pPr>
      <w:r>
        <w:t xml:space="preserve">Stone, D., Blitz, M., </w:t>
      </w:r>
      <w:proofErr w:type="spellStart"/>
      <w:r>
        <w:t>Daubney</w:t>
      </w:r>
      <w:proofErr w:type="spellEnd"/>
      <w:r>
        <w:t>, L., Howes, N. U. M.</w:t>
      </w:r>
      <w:r w:rsidR="0018573F">
        <w:t>,</w:t>
      </w:r>
      <w:r>
        <w:t xml:space="preserve"> and Seakins, P.:</w:t>
      </w:r>
      <w:r w:rsidR="0018573F">
        <w:t xml:space="preserve"> </w:t>
      </w:r>
      <w:r>
        <w:t xml:space="preserve">Phys. Chem. Chem. Phys., </w:t>
      </w:r>
      <w:r w:rsidRPr="0003110A">
        <w:t>16</w:t>
      </w:r>
      <w:r>
        <w:t>, 1139, 2014.</w:t>
      </w:r>
    </w:p>
    <w:p w14:paraId="05A346E8" w14:textId="77777777" w:rsidR="00793835" w:rsidRDefault="00793835" w:rsidP="00B626E8">
      <w:pPr>
        <w:tabs>
          <w:tab w:val="left" w:pos="0"/>
        </w:tabs>
        <w:ind w:left="289" w:hanging="289"/>
        <w:jc w:val="both"/>
        <w:rPr>
          <w:lang w:val="en-GB"/>
        </w:rPr>
      </w:pPr>
      <w:proofErr w:type="spellStart"/>
      <w:r w:rsidRPr="002E5A09">
        <w:t>Suto</w:t>
      </w:r>
      <w:proofErr w:type="spellEnd"/>
      <w:r w:rsidRPr="002E5A09">
        <w:t>,</w:t>
      </w:r>
      <w:r w:rsidR="002E5A09" w:rsidRPr="002E5A09">
        <w:t xml:space="preserve"> M.,</w:t>
      </w:r>
      <w:r w:rsidRPr="002E5A09">
        <w:t xml:space="preserve"> Manzanares,</w:t>
      </w:r>
      <w:r w:rsidR="002E5A09" w:rsidRPr="002E5A09">
        <w:t xml:space="preserve"> E. R. </w:t>
      </w:r>
      <w:r w:rsidRPr="002E5A09">
        <w:t xml:space="preserve"> and Lee</w:t>
      </w:r>
      <w:r w:rsidR="002E5A09" w:rsidRPr="002E5A09">
        <w:t>, L. C.:</w:t>
      </w:r>
      <w:r w:rsidRPr="002E5A09">
        <w:t xml:space="preserve"> Environ. Sci. Technol.</w:t>
      </w:r>
      <w:r w:rsidR="002E5A09" w:rsidRPr="002E5A09">
        <w:t>,</w:t>
      </w:r>
      <w:r w:rsidRPr="002E5A09">
        <w:t xml:space="preserve"> 19, 815</w:t>
      </w:r>
      <w:r w:rsidR="002E5A09" w:rsidRPr="002E5A09">
        <w:t>,</w:t>
      </w:r>
      <w:r w:rsidRPr="002E5A09">
        <w:t xml:space="preserve"> 1985</w:t>
      </w:r>
      <w:r w:rsidR="0018573F">
        <w:t>.</w:t>
      </w:r>
    </w:p>
    <w:p w14:paraId="63E3EE39" w14:textId="77777777" w:rsidR="0003110A" w:rsidRDefault="00793835" w:rsidP="00B626E8">
      <w:pPr>
        <w:tabs>
          <w:tab w:val="center" w:pos="4680"/>
        </w:tabs>
        <w:ind w:left="289" w:hanging="289"/>
        <w:jc w:val="both"/>
        <w:rPr>
          <w:color w:val="auto"/>
          <w:szCs w:val="24"/>
        </w:rPr>
      </w:pPr>
      <w:proofErr w:type="spellStart"/>
      <w:r w:rsidRPr="0085481F">
        <w:rPr>
          <w:color w:val="auto"/>
          <w:szCs w:val="24"/>
        </w:rPr>
        <w:t>Welz</w:t>
      </w:r>
      <w:proofErr w:type="spellEnd"/>
      <w:r w:rsidRPr="0085481F">
        <w:rPr>
          <w:color w:val="auto"/>
          <w:szCs w:val="24"/>
        </w:rPr>
        <w:t xml:space="preserve">, O, </w:t>
      </w:r>
      <w:proofErr w:type="spellStart"/>
      <w:r w:rsidRPr="0085481F">
        <w:rPr>
          <w:color w:val="auto"/>
          <w:szCs w:val="24"/>
        </w:rPr>
        <w:t>Savee</w:t>
      </w:r>
      <w:proofErr w:type="spellEnd"/>
      <w:r w:rsidRPr="0085481F">
        <w:rPr>
          <w:color w:val="auto"/>
          <w:szCs w:val="24"/>
        </w:rPr>
        <w:t>, J. D. Osborn, D. L., Vasu, S. S., Percival, C. J., Shallcross, D. E.</w:t>
      </w:r>
      <w:r>
        <w:rPr>
          <w:color w:val="auto"/>
          <w:szCs w:val="24"/>
        </w:rPr>
        <w:t xml:space="preserve"> and</w:t>
      </w:r>
      <w:r w:rsidRPr="0085481F">
        <w:rPr>
          <w:color w:val="auto"/>
          <w:szCs w:val="24"/>
        </w:rPr>
        <w:t xml:space="preserve"> </w:t>
      </w:r>
      <w:proofErr w:type="spellStart"/>
      <w:r w:rsidRPr="0085481F">
        <w:rPr>
          <w:color w:val="auto"/>
          <w:szCs w:val="24"/>
        </w:rPr>
        <w:t>Taatjes</w:t>
      </w:r>
      <w:proofErr w:type="spellEnd"/>
      <w:r w:rsidRPr="0085481F">
        <w:rPr>
          <w:color w:val="auto"/>
          <w:szCs w:val="24"/>
        </w:rPr>
        <w:t>, C. A.</w:t>
      </w:r>
      <w:r>
        <w:rPr>
          <w:color w:val="auto"/>
          <w:szCs w:val="24"/>
        </w:rPr>
        <w:t>:</w:t>
      </w:r>
      <w:r w:rsidRPr="0085481F">
        <w:rPr>
          <w:color w:val="auto"/>
          <w:szCs w:val="24"/>
        </w:rPr>
        <w:t xml:space="preserve"> Science, </w:t>
      </w:r>
      <w:r w:rsidRPr="00CA56DB">
        <w:rPr>
          <w:color w:val="auto"/>
          <w:szCs w:val="24"/>
        </w:rPr>
        <w:t>335</w:t>
      </w:r>
      <w:r w:rsidRPr="0085481F">
        <w:rPr>
          <w:color w:val="auto"/>
          <w:szCs w:val="24"/>
        </w:rPr>
        <w:t>, 204, 2012</w:t>
      </w:r>
      <w:r>
        <w:rPr>
          <w:color w:val="auto"/>
          <w:szCs w:val="24"/>
        </w:rPr>
        <w:t>.</w:t>
      </w:r>
    </w:p>
    <w:sectPr w:rsidR="0003110A">
      <w:footerReference w:type="default" r:id="rId9"/>
      <w:footerReference w:type="first" r:id="rId10"/>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147C" w14:textId="77777777" w:rsidR="000262CE" w:rsidRDefault="000262CE">
      <w:r>
        <w:separator/>
      </w:r>
    </w:p>
  </w:endnote>
  <w:endnote w:type="continuationSeparator" w:id="0">
    <w:p w14:paraId="62A926FD" w14:textId="77777777" w:rsidR="000262CE" w:rsidRDefault="0002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364b11">
    <w:altName w:val="Times New Roman"/>
    <w:charset w:val="4D"/>
    <w:family w:val="auto"/>
    <w:notTrueType/>
    <w:pitch w:val="default"/>
    <w:sig w:usb0="00000003" w:usb1="00000000" w:usb2="00000000" w:usb3="00000000" w:csb0="00000001" w:csb1="00000000"/>
  </w:font>
  <w:font w:name="Apple Symbols">
    <w:altName w:val="Arial"/>
    <w:charset w:val="00"/>
    <w:family w:val="auto"/>
    <w:pitch w:val="variable"/>
    <w:sig w:usb0="830000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F71B" w14:textId="77777777" w:rsidR="00667891" w:rsidRDefault="00667891">
    <w:pPr>
      <w:pStyle w:val="Footer"/>
    </w:pPr>
    <w:r>
      <w:pict w14:anchorId="0D1B1D5A">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6441BB31"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712CA7">
                  <w:rPr>
                    <w:rStyle w:val="PageNumber"/>
                    <w:noProof/>
                  </w:rPr>
                  <w:t>4</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A017"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0DA2" w14:textId="77777777" w:rsidR="000262CE" w:rsidRDefault="000262CE">
      <w:r>
        <w:separator/>
      </w:r>
    </w:p>
  </w:footnote>
  <w:footnote w:type="continuationSeparator" w:id="0">
    <w:p w14:paraId="6B4563F9" w14:textId="77777777" w:rsidR="000262CE" w:rsidRDefault="0002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6609"/>
        </w:tabs>
        <w:ind w:left="7041" w:hanging="432"/>
      </w:pPr>
    </w:lvl>
    <w:lvl w:ilvl="1">
      <w:start w:val="1"/>
      <w:numFmt w:val="none"/>
      <w:suff w:val="nothing"/>
      <w:lvlText w:val=""/>
      <w:lvlJc w:val="left"/>
      <w:pPr>
        <w:tabs>
          <w:tab w:val="num" w:pos="6609"/>
        </w:tabs>
        <w:ind w:left="7185" w:hanging="576"/>
      </w:pPr>
    </w:lvl>
    <w:lvl w:ilvl="2">
      <w:start w:val="1"/>
      <w:numFmt w:val="none"/>
      <w:suff w:val="nothing"/>
      <w:lvlText w:val=""/>
      <w:lvlJc w:val="left"/>
      <w:pPr>
        <w:tabs>
          <w:tab w:val="num" w:pos="6609"/>
        </w:tabs>
        <w:ind w:left="7329" w:hanging="720"/>
      </w:pPr>
    </w:lvl>
    <w:lvl w:ilvl="3">
      <w:start w:val="1"/>
      <w:numFmt w:val="none"/>
      <w:suff w:val="nothing"/>
      <w:lvlText w:val=""/>
      <w:lvlJc w:val="left"/>
      <w:pPr>
        <w:tabs>
          <w:tab w:val="num" w:pos="6609"/>
        </w:tabs>
        <w:ind w:left="7473" w:hanging="864"/>
      </w:pPr>
    </w:lvl>
    <w:lvl w:ilvl="4">
      <w:start w:val="1"/>
      <w:numFmt w:val="none"/>
      <w:suff w:val="nothing"/>
      <w:lvlText w:val=""/>
      <w:lvlJc w:val="left"/>
      <w:pPr>
        <w:tabs>
          <w:tab w:val="num" w:pos="6609"/>
        </w:tabs>
        <w:ind w:left="7617" w:hanging="1008"/>
      </w:pPr>
    </w:lvl>
    <w:lvl w:ilvl="5">
      <w:start w:val="1"/>
      <w:numFmt w:val="none"/>
      <w:suff w:val="nothing"/>
      <w:lvlText w:val=""/>
      <w:lvlJc w:val="left"/>
      <w:pPr>
        <w:tabs>
          <w:tab w:val="num" w:pos="6609"/>
        </w:tabs>
        <w:ind w:left="7761" w:hanging="1152"/>
      </w:pPr>
    </w:lvl>
    <w:lvl w:ilvl="6">
      <w:start w:val="1"/>
      <w:numFmt w:val="none"/>
      <w:suff w:val="nothing"/>
      <w:lvlText w:val=""/>
      <w:lvlJc w:val="left"/>
      <w:pPr>
        <w:tabs>
          <w:tab w:val="num" w:pos="6609"/>
        </w:tabs>
        <w:ind w:left="7905" w:hanging="1296"/>
      </w:pPr>
    </w:lvl>
    <w:lvl w:ilvl="7">
      <w:start w:val="1"/>
      <w:numFmt w:val="none"/>
      <w:suff w:val="nothing"/>
      <w:lvlText w:val=""/>
      <w:lvlJc w:val="left"/>
      <w:pPr>
        <w:tabs>
          <w:tab w:val="num" w:pos="6609"/>
        </w:tabs>
        <w:ind w:left="8049" w:hanging="1440"/>
      </w:pPr>
    </w:lvl>
    <w:lvl w:ilvl="8">
      <w:start w:val="1"/>
      <w:numFmt w:val="none"/>
      <w:suff w:val="nothing"/>
      <w:lvlText w:val=""/>
      <w:lvlJc w:val="left"/>
      <w:pPr>
        <w:tabs>
          <w:tab w:val="num" w:pos="6609"/>
        </w:tabs>
        <w:ind w:left="8193"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121E1"/>
    <w:rsid w:val="00026185"/>
    <w:rsid w:val="000262CE"/>
    <w:rsid w:val="0003110A"/>
    <w:rsid w:val="000439A6"/>
    <w:rsid w:val="00044BA4"/>
    <w:rsid w:val="00051639"/>
    <w:rsid w:val="000554DE"/>
    <w:rsid w:val="00055B64"/>
    <w:rsid w:val="00060F84"/>
    <w:rsid w:val="00062A88"/>
    <w:rsid w:val="00073E26"/>
    <w:rsid w:val="00082371"/>
    <w:rsid w:val="00083A9E"/>
    <w:rsid w:val="00087559"/>
    <w:rsid w:val="000917D3"/>
    <w:rsid w:val="0009182F"/>
    <w:rsid w:val="00097E41"/>
    <w:rsid w:val="000A388B"/>
    <w:rsid w:val="000A5DB0"/>
    <w:rsid w:val="000B109A"/>
    <w:rsid w:val="000B1E91"/>
    <w:rsid w:val="000C3963"/>
    <w:rsid w:val="000C6109"/>
    <w:rsid w:val="000D5266"/>
    <w:rsid w:val="000E6CC4"/>
    <w:rsid w:val="000F1A4C"/>
    <w:rsid w:val="000F4159"/>
    <w:rsid w:val="00103BFE"/>
    <w:rsid w:val="00110DA2"/>
    <w:rsid w:val="00127FA2"/>
    <w:rsid w:val="00133D64"/>
    <w:rsid w:val="00147135"/>
    <w:rsid w:val="0018573F"/>
    <w:rsid w:val="00187FB3"/>
    <w:rsid w:val="00196AE4"/>
    <w:rsid w:val="001C4DB8"/>
    <w:rsid w:val="001F293B"/>
    <w:rsid w:val="00210DDC"/>
    <w:rsid w:val="00213494"/>
    <w:rsid w:val="00230EA1"/>
    <w:rsid w:val="00244A63"/>
    <w:rsid w:val="002552B7"/>
    <w:rsid w:val="002569BF"/>
    <w:rsid w:val="00257C1E"/>
    <w:rsid w:val="00263004"/>
    <w:rsid w:val="00275FC8"/>
    <w:rsid w:val="00276ABB"/>
    <w:rsid w:val="0027752A"/>
    <w:rsid w:val="002874BD"/>
    <w:rsid w:val="00296D05"/>
    <w:rsid w:val="002B76A5"/>
    <w:rsid w:val="002C30AE"/>
    <w:rsid w:val="002C4DE8"/>
    <w:rsid w:val="002D26FD"/>
    <w:rsid w:val="002E5A09"/>
    <w:rsid w:val="00314456"/>
    <w:rsid w:val="003738B3"/>
    <w:rsid w:val="00374307"/>
    <w:rsid w:val="003964D0"/>
    <w:rsid w:val="003B2E4A"/>
    <w:rsid w:val="003B61AE"/>
    <w:rsid w:val="003C4E5D"/>
    <w:rsid w:val="003E0DEE"/>
    <w:rsid w:val="003E48F9"/>
    <w:rsid w:val="00400E22"/>
    <w:rsid w:val="00405470"/>
    <w:rsid w:val="00421267"/>
    <w:rsid w:val="00441566"/>
    <w:rsid w:val="0044764F"/>
    <w:rsid w:val="004478AE"/>
    <w:rsid w:val="004A5A5E"/>
    <w:rsid w:val="004B06CE"/>
    <w:rsid w:val="004B43B1"/>
    <w:rsid w:val="004C4BEA"/>
    <w:rsid w:val="004E6E3F"/>
    <w:rsid w:val="004E7933"/>
    <w:rsid w:val="004F171C"/>
    <w:rsid w:val="00506C23"/>
    <w:rsid w:val="00510981"/>
    <w:rsid w:val="00525C80"/>
    <w:rsid w:val="0052659C"/>
    <w:rsid w:val="00532946"/>
    <w:rsid w:val="00543848"/>
    <w:rsid w:val="005645F0"/>
    <w:rsid w:val="00581FF4"/>
    <w:rsid w:val="0058473E"/>
    <w:rsid w:val="005853AF"/>
    <w:rsid w:val="005928C4"/>
    <w:rsid w:val="005C5BC3"/>
    <w:rsid w:val="005D0E90"/>
    <w:rsid w:val="005D133B"/>
    <w:rsid w:val="005E1C2A"/>
    <w:rsid w:val="005F30D4"/>
    <w:rsid w:val="005F7772"/>
    <w:rsid w:val="006021C6"/>
    <w:rsid w:val="006210EF"/>
    <w:rsid w:val="00637C26"/>
    <w:rsid w:val="00643BD9"/>
    <w:rsid w:val="006476E1"/>
    <w:rsid w:val="0065119A"/>
    <w:rsid w:val="00657A21"/>
    <w:rsid w:val="00665B4C"/>
    <w:rsid w:val="00667891"/>
    <w:rsid w:val="00692E58"/>
    <w:rsid w:val="006D7E76"/>
    <w:rsid w:val="006F09CD"/>
    <w:rsid w:val="006F79CA"/>
    <w:rsid w:val="007010C4"/>
    <w:rsid w:val="00705785"/>
    <w:rsid w:val="0071183F"/>
    <w:rsid w:val="00712CA7"/>
    <w:rsid w:val="00712FEF"/>
    <w:rsid w:val="00713905"/>
    <w:rsid w:val="00722811"/>
    <w:rsid w:val="00743D70"/>
    <w:rsid w:val="007565E5"/>
    <w:rsid w:val="007611BF"/>
    <w:rsid w:val="00773C03"/>
    <w:rsid w:val="00777B41"/>
    <w:rsid w:val="00793835"/>
    <w:rsid w:val="007A2AFA"/>
    <w:rsid w:val="007D12BB"/>
    <w:rsid w:val="007F4289"/>
    <w:rsid w:val="008401F1"/>
    <w:rsid w:val="00841AD8"/>
    <w:rsid w:val="00854610"/>
    <w:rsid w:val="0085481F"/>
    <w:rsid w:val="008708A1"/>
    <w:rsid w:val="00893D33"/>
    <w:rsid w:val="008A3B84"/>
    <w:rsid w:val="008B06A2"/>
    <w:rsid w:val="008B3D0F"/>
    <w:rsid w:val="008D7B6A"/>
    <w:rsid w:val="008E0294"/>
    <w:rsid w:val="008E4057"/>
    <w:rsid w:val="008E758B"/>
    <w:rsid w:val="008F10DE"/>
    <w:rsid w:val="008F7C71"/>
    <w:rsid w:val="00906C25"/>
    <w:rsid w:val="009165C4"/>
    <w:rsid w:val="00937BE5"/>
    <w:rsid w:val="009417B2"/>
    <w:rsid w:val="00943A46"/>
    <w:rsid w:val="00945495"/>
    <w:rsid w:val="00953031"/>
    <w:rsid w:val="0095622F"/>
    <w:rsid w:val="00963CC7"/>
    <w:rsid w:val="00964758"/>
    <w:rsid w:val="00976095"/>
    <w:rsid w:val="00994208"/>
    <w:rsid w:val="00994621"/>
    <w:rsid w:val="009A3D1F"/>
    <w:rsid w:val="009A6409"/>
    <w:rsid w:val="009B17BA"/>
    <w:rsid w:val="009B7B2A"/>
    <w:rsid w:val="009C1B4E"/>
    <w:rsid w:val="009E16CC"/>
    <w:rsid w:val="009E304E"/>
    <w:rsid w:val="00A02A32"/>
    <w:rsid w:val="00A02B28"/>
    <w:rsid w:val="00A05D44"/>
    <w:rsid w:val="00A11E5E"/>
    <w:rsid w:val="00A147A6"/>
    <w:rsid w:val="00A339FB"/>
    <w:rsid w:val="00A373FD"/>
    <w:rsid w:val="00A411B5"/>
    <w:rsid w:val="00A54391"/>
    <w:rsid w:val="00A55F48"/>
    <w:rsid w:val="00A606B7"/>
    <w:rsid w:val="00A737F5"/>
    <w:rsid w:val="00A74A04"/>
    <w:rsid w:val="00A914B7"/>
    <w:rsid w:val="00AB26E9"/>
    <w:rsid w:val="00AB6337"/>
    <w:rsid w:val="00AC42C9"/>
    <w:rsid w:val="00AC70C1"/>
    <w:rsid w:val="00AE657F"/>
    <w:rsid w:val="00AF66F9"/>
    <w:rsid w:val="00B12AB6"/>
    <w:rsid w:val="00B31BF6"/>
    <w:rsid w:val="00B4430F"/>
    <w:rsid w:val="00B56E76"/>
    <w:rsid w:val="00B614F5"/>
    <w:rsid w:val="00B626E8"/>
    <w:rsid w:val="00B81793"/>
    <w:rsid w:val="00B84FD2"/>
    <w:rsid w:val="00B863FE"/>
    <w:rsid w:val="00B91DA1"/>
    <w:rsid w:val="00B94850"/>
    <w:rsid w:val="00BB35CF"/>
    <w:rsid w:val="00BB5A4C"/>
    <w:rsid w:val="00BC0231"/>
    <w:rsid w:val="00BF03C1"/>
    <w:rsid w:val="00BF04CF"/>
    <w:rsid w:val="00C000CE"/>
    <w:rsid w:val="00C033B3"/>
    <w:rsid w:val="00C14F7A"/>
    <w:rsid w:val="00C37254"/>
    <w:rsid w:val="00C62CCF"/>
    <w:rsid w:val="00C6539A"/>
    <w:rsid w:val="00C90753"/>
    <w:rsid w:val="00C962E9"/>
    <w:rsid w:val="00CA56DB"/>
    <w:rsid w:val="00CA6630"/>
    <w:rsid w:val="00CA69DA"/>
    <w:rsid w:val="00CE33C8"/>
    <w:rsid w:val="00CF19DD"/>
    <w:rsid w:val="00CF28E5"/>
    <w:rsid w:val="00D0777C"/>
    <w:rsid w:val="00D24F0B"/>
    <w:rsid w:val="00D309AC"/>
    <w:rsid w:val="00D43314"/>
    <w:rsid w:val="00D60876"/>
    <w:rsid w:val="00D72280"/>
    <w:rsid w:val="00D742A0"/>
    <w:rsid w:val="00D753B9"/>
    <w:rsid w:val="00D76EA6"/>
    <w:rsid w:val="00D851E9"/>
    <w:rsid w:val="00D8581C"/>
    <w:rsid w:val="00DA43A2"/>
    <w:rsid w:val="00DB0D28"/>
    <w:rsid w:val="00DC174E"/>
    <w:rsid w:val="00DC219A"/>
    <w:rsid w:val="00DC5A70"/>
    <w:rsid w:val="00DF18E4"/>
    <w:rsid w:val="00DF5B4E"/>
    <w:rsid w:val="00E35189"/>
    <w:rsid w:val="00E3651F"/>
    <w:rsid w:val="00E4656A"/>
    <w:rsid w:val="00E6281C"/>
    <w:rsid w:val="00E67E4D"/>
    <w:rsid w:val="00E81FFB"/>
    <w:rsid w:val="00E82CEC"/>
    <w:rsid w:val="00E8367B"/>
    <w:rsid w:val="00EA5447"/>
    <w:rsid w:val="00EA651B"/>
    <w:rsid w:val="00EC3729"/>
    <w:rsid w:val="00ED24D0"/>
    <w:rsid w:val="00ED5945"/>
    <w:rsid w:val="00F15887"/>
    <w:rsid w:val="00F16E4A"/>
    <w:rsid w:val="00F340B1"/>
    <w:rsid w:val="00F37838"/>
    <w:rsid w:val="00F54C85"/>
    <w:rsid w:val="00F649C4"/>
    <w:rsid w:val="00F718F7"/>
    <w:rsid w:val="00F81147"/>
    <w:rsid w:val="00F81A6C"/>
    <w:rsid w:val="00F93475"/>
    <w:rsid w:val="00F964CF"/>
    <w:rsid w:val="00FB4D3C"/>
    <w:rsid w:val="00FB54ED"/>
    <w:rsid w:val="00FD2AD1"/>
    <w:rsid w:val="00FD7809"/>
    <w:rsid w:val="00FD7BC0"/>
    <w:rsid w:val="00FE162E"/>
    <w:rsid w:val="00FE5F10"/>
    <w:rsid w:val="00FE7B2F"/>
    <w:rsid w:val="00FF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9F3E694"/>
  <w15:chartTrackingRefBased/>
  <w15:docId w15:val="{C57E322B-946B-444E-B4D7-FEF467C8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link w:val="FooterChar"/>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 w:type="character" w:customStyle="1" w:styleId="FooterChar">
    <w:name w:val="Footer Char"/>
    <w:link w:val="Footer"/>
    <w:rsid w:val="0003110A"/>
    <w:rPr>
      <w:color w:val="000000"/>
      <w:sz w:val="24"/>
      <w:lang w:val="en-US" w:eastAsia="zh-CN"/>
    </w:rPr>
  </w:style>
  <w:style w:type="character" w:customStyle="1" w:styleId="pagenumber0">
    <w:name w:val="page number"/>
    <w:rsid w:val="0003110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712273482">
      <w:bodyDiv w:val="1"/>
      <w:marLeft w:val="0"/>
      <w:marRight w:val="0"/>
      <w:marTop w:val="0"/>
      <w:marBottom w:val="0"/>
      <w:divBdr>
        <w:top w:val="none" w:sz="0" w:space="0" w:color="auto"/>
        <w:left w:val="none" w:sz="0" w:space="0" w:color="auto"/>
        <w:bottom w:val="none" w:sz="0" w:space="0" w:color="auto"/>
        <w:right w:val="none" w:sz="0" w:space="0" w:color="auto"/>
      </w:divBdr>
    </w:div>
    <w:div w:id="1177960742">
      <w:bodyDiv w:val="1"/>
      <w:marLeft w:val="0"/>
      <w:marRight w:val="0"/>
      <w:marTop w:val="0"/>
      <w:marBottom w:val="0"/>
      <w:divBdr>
        <w:top w:val="none" w:sz="0" w:space="0" w:color="auto"/>
        <w:left w:val="none" w:sz="0" w:space="0" w:color="auto"/>
        <w:bottom w:val="none" w:sz="0" w:space="0" w:color="auto"/>
        <w:right w:val="none" w:sz="0" w:space="0" w:color="auto"/>
      </w:divBdr>
    </w:div>
    <w:div w:id="1290666626">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 w:id="21325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E6B7-18C5-4689-B67B-903897D7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CGI_4</vt:lpstr>
    </vt:vector>
  </TitlesOfParts>
  <Company/>
  <LinksUpToDate>false</LinksUpToDate>
  <CharactersWithSpaces>16365</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CGI_4</dc:title>
  <dc:subject/>
  <dc:creator>Janet Arey</dc:creator>
  <cp:keywords/>
  <cp:lastModifiedBy>Mike</cp:lastModifiedBy>
  <cp:revision>2</cp:revision>
  <cp:lastPrinted>2020-05-10T15:29:00Z</cp:lastPrinted>
  <dcterms:created xsi:type="dcterms:W3CDTF">2020-05-10T15:29:00Z</dcterms:created>
  <dcterms:modified xsi:type="dcterms:W3CDTF">2020-05-10T15:29:00Z</dcterms:modified>
</cp:coreProperties>
</file>