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FE278"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A914B7" w:rsidRPr="00643BD9">
        <w:rPr>
          <w:b/>
          <w:szCs w:val="24"/>
        </w:rPr>
        <w:t>1</w:t>
      </w:r>
      <w:r w:rsidR="00710798">
        <w:rPr>
          <w:b/>
          <w:szCs w:val="24"/>
        </w:rPr>
        <w:t>8</w:t>
      </w:r>
    </w:p>
    <w:p w14:paraId="29CFE146"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2701FF71" w14:textId="77777777" w:rsidR="00083A9E" w:rsidRDefault="00083A9E" w:rsidP="00083A9E">
      <w:pPr>
        <w:ind w:right="525"/>
        <w:jc w:val="both"/>
      </w:pPr>
      <w:r>
        <w:rPr>
          <w:szCs w:val="24"/>
        </w:rPr>
        <w:t xml:space="preserve">This datasheet last evaluated: </w:t>
      </w:r>
      <w:r w:rsidR="007C17E7">
        <w:rPr>
          <w:szCs w:val="24"/>
        </w:rPr>
        <w:t>February 2020</w:t>
      </w:r>
      <w:r>
        <w:rPr>
          <w:szCs w:val="24"/>
        </w:rPr>
        <w:t xml:space="preserve">; last change in preferred values: </w:t>
      </w:r>
      <w:r w:rsidR="007C17E7">
        <w:rPr>
          <w:szCs w:val="24"/>
        </w:rPr>
        <w:t>February 2020</w:t>
      </w:r>
    </w:p>
    <w:p w14:paraId="12B150B2" w14:textId="77777777" w:rsidR="00667891" w:rsidRDefault="00667891">
      <w:pPr>
        <w:ind w:right="332"/>
      </w:pPr>
      <w:r>
        <w:pict w14:anchorId="0395FFCC">
          <v:line id="_x0000_s1026" style="position:absolute;z-index:1" from="-67.05pt,11.4pt" to="528.2pt,11.4pt" strokeweight=".26mm">
            <v:stroke joinstyle="miter" endcap="square"/>
          </v:line>
        </w:pict>
      </w:r>
    </w:p>
    <w:p w14:paraId="37716A72" w14:textId="77777777" w:rsidR="00667891" w:rsidRDefault="00667891">
      <w:pPr>
        <w:tabs>
          <w:tab w:val="center" w:pos="4680"/>
        </w:tabs>
        <w:jc w:val="center"/>
      </w:pPr>
    </w:p>
    <w:p w14:paraId="150D7095" w14:textId="77777777" w:rsidR="00083A9E" w:rsidRPr="001D3940" w:rsidRDefault="00C501D5" w:rsidP="00083A9E">
      <w:pPr>
        <w:tabs>
          <w:tab w:val="center" w:pos="4680"/>
        </w:tabs>
        <w:jc w:val="center"/>
        <w:rPr>
          <w:color w:val="auto"/>
        </w:rPr>
      </w:pPr>
      <w:r>
        <w:rPr>
          <w:b/>
        </w:rPr>
        <w:t>(</w:t>
      </w:r>
      <w:r w:rsidR="008605B7">
        <w:rPr>
          <w:b/>
        </w:rPr>
        <w:t>CH</w:t>
      </w:r>
      <w:r w:rsidR="008605B7">
        <w:rPr>
          <w:b/>
          <w:vertAlign w:val="subscript"/>
        </w:rPr>
        <w:t>3</w:t>
      </w:r>
      <w:r>
        <w:rPr>
          <w:b/>
        </w:rPr>
        <w:t>)</w:t>
      </w:r>
      <w:r w:rsidRPr="00C501D5">
        <w:rPr>
          <w:b/>
          <w:vertAlign w:val="subscript"/>
        </w:rPr>
        <w:t>2</w:t>
      </w:r>
      <w:r>
        <w:rPr>
          <w:b/>
        </w:rPr>
        <w:t>C</w:t>
      </w:r>
      <w:r w:rsidR="008605B7">
        <w:rPr>
          <w:b/>
        </w:rPr>
        <w:t xml:space="preserve">OO + </w:t>
      </w:r>
      <w:r w:rsidR="00710798">
        <w:rPr>
          <w:b/>
        </w:rPr>
        <w:t>SO</w:t>
      </w:r>
      <w:r w:rsidR="00710798" w:rsidRPr="00841802">
        <w:rPr>
          <w:b/>
          <w:vertAlign w:val="subscript"/>
        </w:rPr>
        <w:t>2</w:t>
      </w:r>
      <w:r w:rsidR="008605B7">
        <w:rPr>
          <w:b/>
        </w:rPr>
        <w:t xml:space="preserve"> </w:t>
      </w:r>
      <w:r w:rsidR="008605B7">
        <w:rPr>
          <w:b/>
        </w:rPr>
        <w:sym w:font="Symbol" w:char="F0AE"/>
      </w:r>
      <w:r w:rsidR="008605B7">
        <w:rPr>
          <w:b/>
        </w:rPr>
        <w:t xml:space="preserve"> </w:t>
      </w:r>
      <w:r w:rsidR="00472B05">
        <w:rPr>
          <w:b/>
        </w:rPr>
        <w:t>products</w:t>
      </w:r>
    </w:p>
    <w:p w14:paraId="3FA4BD73" w14:textId="77777777" w:rsidR="00083A9E" w:rsidRPr="001D3940" w:rsidRDefault="00083A9E" w:rsidP="00083A9E">
      <w:pPr>
        <w:tabs>
          <w:tab w:val="left" w:pos="-1440"/>
          <w:tab w:val="left" w:pos="-720"/>
          <w:tab w:val="left" w:pos="288"/>
        </w:tabs>
        <w:jc w:val="both"/>
        <w:rPr>
          <w:color w:val="auto"/>
        </w:rPr>
      </w:pPr>
    </w:p>
    <w:p w14:paraId="2E04BCE5" w14:textId="77777777" w:rsidR="00083A9E" w:rsidRDefault="00083A9E" w:rsidP="00083A9E">
      <w:pPr>
        <w:pStyle w:val="Heading2"/>
        <w:rPr>
          <w:rFonts w:ascii="Times New Roman" w:hAnsi="Times New Roman" w:cs="Times New Roman"/>
          <w:color w:val="auto"/>
        </w:rPr>
      </w:pPr>
      <w:r w:rsidRPr="001D3940">
        <w:rPr>
          <w:rFonts w:ascii="Times New Roman" w:hAnsi="Times New Roman" w:cs="Times New Roman"/>
          <w:color w:val="auto"/>
        </w:rPr>
        <w:t>Rate coefficient data</w:t>
      </w:r>
    </w:p>
    <w:p w14:paraId="06CF680C" w14:textId="77777777" w:rsidR="00C501D5" w:rsidRPr="001D3940" w:rsidRDefault="00C501D5" w:rsidP="00083A9E">
      <w:pPr>
        <w:tabs>
          <w:tab w:val="center" w:pos="4680"/>
        </w:tabs>
        <w:jc w:val="both"/>
        <w:rPr>
          <w:b/>
          <w:color w:val="auto"/>
        </w:rPr>
      </w:pPr>
    </w:p>
    <w:tbl>
      <w:tblPr>
        <w:tblW w:w="9028" w:type="dxa"/>
        <w:tblInd w:w="578" w:type="dxa"/>
        <w:tblLayout w:type="fixed"/>
        <w:tblLook w:val="0000" w:firstRow="0" w:lastRow="0" w:firstColumn="0" w:lastColumn="0" w:noHBand="0" w:noVBand="0"/>
      </w:tblPr>
      <w:tblGrid>
        <w:gridCol w:w="2507"/>
        <w:gridCol w:w="992"/>
        <w:gridCol w:w="993"/>
        <w:gridCol w:w="992"/>
        <w:gridCol w:w="1559"/>
        <w:gridCol w:w="1985"/>
      </w:tblGrid>
      <w:tr w:rsidR="00D85296" w:rsidRPr="001D3940" w14:paraId="75C0E901" w14:textId="77777777" w:rsidTr="001B11F8">
        <w:tc>
          <w:tcPr>
            <w:tcW w:w="2507" w:type="dxa"/>
            <w:tcBorders>
              <w:top w:val="double" w:sz="1" w:space="0" w:color="000000"/>
              <w:bottom w:val="single" w:sz="4" w:space="0" w:color="000000"/>
            </w:tcBorders>
            <w:shd w:val="clear" w:color="auto" w:fill="auto"/>
          </w:tcPr>
          <w:p w14:paraId="5DD75971" w14:textId="77777777" w:rsidR="00D85296" w:rsidRPr="001D3940" w:rsidRDefault="00D85296"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992" w:type="dxa"/>
            <w:tcBorders>
              <w:top w:val="double" w:sz="1" w:space="0" w:color="000000"/>
              <w:bottom w:val="single" w:sz="4" w:space="0" w:color="000000"/>
            </w:tcBorders>
          </w:tcPr>
          <w:p w14:paraId="298F3006" w14:textId="77777777" w:rsidR="00D85296" w:rsidRPr="001D3940" w:rsidRDefault="00D85296" w:rsidP="00722811">
            <w:pPr>
              <w:tabs>
                <w:tab w:val="center" w:pos="4680"/>
              </w:tabs>
              <w:snapToGrid w:val="0"/>
              <w:spacing w:before="120" w:after="120"/>
              <w:jc w:val="both"/>
              <w:rPr>
                <w:color w:val="auto"/>
                <w:sz w:val="20"/>
              </w:rPr>
            </w:pPr>
            <w:r w:rsidRPr="00D85296">
              <w:rPr>
                <w:i/>
                <w:iCs/>
                <w:color w:val="auto"/>
                <w:sz w:val="20"/>
              </w:rPr>
              <w:t>P</w:t>
            </w:r>
            <w:r>
              <w:rPr>
                <w:color w:val="auto"/>
                <w:sz w:val="20"/>
              </w:rPr>
              <w:t>/</w:t>
            </w:r>
            <w:r w:rsidR="009F4230">
              <w:rPr>
                <w:color w:val="auto"/>
                <w:sz w:val="20"/>
              </w:rPr>
              <w:t>mbar</w:t>
            </w:r>
          </w:p>
        </w:tc>
        <w:tc>
          <w:tcPr>
            <w:tcW w:w="993" w:type="dxa"/>
            <w:tcBorders>
              <w:top w:val="double" w:sz="1" w:space="0" w:color="000000"/>
              <w:bottom w:val="single" w:sz="4" w:space="0" w:color="000000"/>
            </w:tcBorders>
            <w:shd w:val="clear" w:color="auto" w:fill="auto"/>
          </w:tcPr>
          <w:p w14:paraId="75322633" w14:textId="77777777" w:rsidR="00D85296" w:rsidRPr="001D3940" w:rsidRDefault="00D85296"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14:paraId="1FF0726F" w14:textId="77777777" w:rsidR="00D85296" w:rsidRPr="001D3940" w:rsidRDefault="00D85296"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6662C232" w14:textId="77777777" w:rsidR="00D85296" w:rsidRPr="001D3940" w:rsidRDefault="00D85296" w:rsidP="00D8581C">
            <w:pPr>
              <w:tabs>
                <w:tab w:val="center" w:pos="4680"/>
              </w:tabs>
              <w:snapToGrid w:val="0"/>
              <w:spacing w:before="120" w:after="120"/>
              <w:ind w:left="-108"/>
              <w:jc w:val="both"/>
              <w:rPr>
                <w:color w:val="auto"/>
              </w:rPr>
            </w:pPr>
            <w:r w:rsidRPr="001D3940">
              <w:rPr>
                <w:color w:val="auto"/>
                <w:sz w:val="20"/>
              </w:rPr>
              <w:t>Technique/Comments</w:t>
            </w:r>
          </w:p>
        </w:tc>
      </w:tr>
      <w:tr w:rsidR="00D85296" w:rsidRPr="00CA56DB" w14:paraId="5D50A121" w14:textId="77777777" w:rsidTr="001B11F8">
        <w:tc>
          <w:tcPr>
            <w:tcW w:w="2507" w:type="dxa"/>
            <w:tcBorders>
              <w:top w:val="single" w:sz="4" w:space="0" w:color="000000"/>
            </w:tcBorders>
            <w:shd w:val="clear" w:color="auto" w:fill="auto"/>
          </w:tcPr>
          <w:p w14:paraId="04B7BA56" w14:textId="77777777" w:rsidR="00D85296" w:rsidRPr="00713905" w:rsidRDefault="00D85296" w:rsidP="00713905">
            <w:pPr>
              <w:spacing w:before="120"/>
              <w:rPr>
                <w:i/>
                <w:sz w:val="20"/>
              </w:rPr>
            </w:pPr>
            <w:r w:rsidRPr="00713905">
              <w:rPr>
                <w:i/>
                <w:sz w:val="20"/>
              </w:rPr>
              <w:t>Absolute Rate Coefficients</w:t>
            </w:r>
          </w:p>
        </w:tc>
        <w:tc>
          <w:tcPr>
            <w:tcW w:w="992" w:type="dxa"/>
            <w:tcBorders>
              <w:top w:val="single" w:sz="4" w:space="0" w:color="000000"/>
            </w:tcBorders>
          </w:tcPr>
          <w:p w14:paraId="1774292C" w14:textId="77777777" w:rsidR="00D85296" w:rsidRPr="00CA56DB" w:rsidRDefault="00D85296" w:rsidP="00722811">
            <w:pPr>
              <w:tabs>
                <w:tab w:val="center" w:pos="4680"/>
              </w:tabs>
              <w:snapToGrid w:val="0"/>
              <w:spacing w:before="120"/>
              <w:jc w:val="both"/>
              <w:rPr>
                <w:color w:val="auto"/>
                <w:sz w:val="20"/>
              </w:rPr>
            </w:pPr>
          </w:p>
        </w:tc>
        <w:tc>
          <w:tcPr>
            <w:tcW w:w="1985" w:type="dxa"/>
            <w:gridSpan w:val="2"/>
            <w:tcBorders>
              <w:top w:val="single" w:sz="4" w:space="0" w:color="000000"/>
            </w:tcBorders>
            <w:shd w:val="clear" w:color="auto" w:fill="auto"/>
          </w:tcPr>
          <w:p w14:paraId="5E5C2BBD" w14:textId="77777777" w:rsidR="00D85296" w:rsidRPr="00CA56DB" w:rsidRDefault="00D85296" w:rsidP="00722811">
            <w:pPr>
              <w:tabs>
                <w:tab w:val="center" w:pos="4680"/>
              </w:tabs>
              <w:snapToGrid w:val="0"/>
              <w:spacing w:before="120"/>
              <w:jc w:val="both"/>
              <w:rPr>
                <w:color w:val="auto"/>
                <w:sz w:val="20"/>
              </w:rPr>
            </w:pPr>
          </w:p>
        </w:tc>
        <w:tc>
          <w:tcPr>
            <w:tcW w:w="1559" w:type="dxa"/>
            <w:tcBorders>
              <w:top w:val="single" w:sz="4" w:space="0" w:color="000000"/>
            </w:tcBorders>
            <w:shd w:val="clear" w:color="auto" w:fill="auto"/>
          </w:tcPr>
          <w:p w14:paraId="1106D8B1" w14:textId="77777777" w:rsidR="00D85296" w:rsidRPr="00CA56DB" w:rsidRDefault="00D85296" w:rsidP="00722811">
            <w:pPr>
              <w:tabs>
                <w:tab w:val="center" w:pos="4680"/>
              </w:tabs>
              <w:snapToGrid w:val="0"/>
              <w:spacing w:before="120"/>
              <w:jc w:val="both"/>
              <w:rPr>
                <w:color w:val="auto"/>
                <w:sz w:val="20"/>
              </w:rPr>
            </w:pPr>
          </w:p>
        </w:tc>
        <w:tc>
          <w:tcPr>
            <w:tcW w:w="1985" w:type="dxa"/>
            <w:tcBorders>
              <w:top w:val="single" w:sz="4" w:space="0" w:color="000000"/>
            </w:tcBorders>
            <w:shd w:val="clear" w:color="auto" w:fill="auto"/>
          </w:tcPr>
          <w:p w14:paraId="4EB3A869" w14:textId="77777777" w:rsidR="00D85296" w:rsidRPr="00CA56DB" w:rsidRDefault="00D85296" w:rsidP="00722811">
            <w:pPr>
              <w:tabs>
                <w:tab w:val="center" w:pos="4680"/>
              </w:tabs>
              <w:snapToGrid w:val="0"/>
              <w:spacing w:before="120"/>
              <w:jc w:val="both"/>
              <w:rPr>
                <w:color w:val="auto"/>
                <w:sz w:val="20"/>
              </w:rPr>
            </w:pPr>
          </w:p>
        </w:tc>
      </w:tr>
      <w:tr w:rsidR="00D85296" w:rsidRPr="001D3940" w14:paraId="6366D8C2" w14:textId="77777777" w:rsidTr="001B11F8">
        <w:tc>
          <w:tcPr>
            <w:tcW w:w="2507" w:type="dxa"/>
            <w:shd w:val="clear" w:color="auto" w:fill="auto"/>
          </w:tcPr>
          <w:p w14:paraId="794258C9" w14:textId="77777777" w:rsidR="00D85296" w:rsidRPr="00DC1D99" w:rsidRDefault="00D85296" w:rsidP="00C501D5">
            <w:pPr>
              <w:overflowPunct w:val="0"/>
              <w:autoSpaceDE w:val="0"/>
              <w:autoSpaceDN w:val="0"/>
              <w:adjustRightInd w:val="0"/>
              <w:jc w:val="both"/>
              <w:rPr>
                <w:iCs/>
                <w:sz w:val="20"/>
              </w:rPr>
            </w:pPr>
            <w:r w:rsidRPr="001F4575">
              <w:rPr>
                <w:i/>
                <w:sz w:val="20"/>
              </w:rPr>
              <w:t>k</w:t>
            </w:r>
            <w:r w:rsidRPr="001F4575">
              <w:rPr>
                <w:iCs/>
                <w:sz w:val="20"/>
                <w:vertAlign w:val="subscript"/>
              </w:rPr>
              <w:t>∞</w:t>
            </w:r>
            <w:r>
              <w:rPr>
                <w:iCs/>
                <w:sz w:val="20"/>
              </w:rPr>
              <w:t xml:space="preserve"> = (1.32 </w:t>
            </w:r>
            <w:r w:rsidRPr="00C501D5">
              <w:rPr>
                <w:iCs/>
                <w:sz w:val="20"/>
              </w:rPr>
              <w:t xml:space="preserve">± </w:t>
            </w:r>
            <w:r>
              <w:rPr>
                <w:iCs/>
                <w:sz w:val="20"/>
              </w:rPr>
              <w:t>0.13) × 10</w:t>
            </w:r>
            <w:r>
              <w:rPr>
                <w:iCs/>
                <w:sz w:val="20"/>
                <w:vertAlign w:val="superscript"/>
              </w:rPr>
              <w:t>-10</w:t>
            </w:r>
          </w:p>
        </w:tc>
        <w:tc>
          <w:tcPr>
            <w:tcW w:w="992" w:type="dxa"/>
          </w:tcPr>
          <w:p w14:paraId="01550325" w14:textId="77777777" w:rsidR="00D85296" w:rsidRPr="00C501D5" w:rsidRDefault="00D85296" w:rsidP="00C501D5">
            <w:pPr>
              <w:overflowPunct w:val="0"/>
              <w:autoSpaceDE w:val="0"/>
              <w:autoSpaceDN w:val="0"/>
              <w:adjustRightInd w:val="0"/>
              <w:rPr>
                <w:sz w:val="20"/>
              </w:rPr>
            </w:pPr>
            <w:r>
              <w:rPr>
                <w:sz w:val="20"/>
              </w:rPr>
              <w:t>&gt;1</w:t>
            </w:r>
            <w:r w:rsidR="009F4230">
              <w:rPr>
                <w:sz w:val="20"/>
              </w:rPr>
              <w:t>33</w:t>
            </w:r>
          </w:p>
        </w:tc>
        <w:tc>
          <w:tcPr>
            <w:tcW w:w="993" w:type="dxa"/>
            <w:shd w:val="clear" w:color="auto" w:fill="auto"/>
          </w:tcPr>
          <w:p w14:paraId="35665A1D" w14:textId="77777777" w:rsidR="00D85296" w:rsidRPr="00C501D5" w:rsidRDefault="00D85296" w:rsidP="00C501D5">
            <w:pPr>
              <w:overflowPunct w:val="0"/>
              <w:autoSpaceDE w:val="0"/>
              <w:autoSpaceDN w:val="0"/>
              <w:adjustRightInd w:val="0"/>
              <w:rPr>
                <w:sz w:val="20"/>
              </w:rPr>
            </w:pPr>
            <w:r w:rsidRPr="00C501D5">
              <w:rPr>
                <w:sz w:val="20"/>
              </w:rPr>
              <w:t>298</w:t>
            </w:r>
          </w:p>
        </w:tc>
        <w:tc>
          <w:tcPr>
            <w:tcW w:w="2551" w:type="dxa"/>
            <w:gridSpan w:val="2"/>
            <w:shd w:val="clear" w:color="auto" w:fill="auto"/>
          </w:tcPr>
          <w:p w14:paraId="329BE2CE" w14:textId="77777777" w:rsidR="00D85296" w:rsidRPr="00C501D5" w:rsidRDefault="00D85296" w:rsidP="00C501D5">
            <w:pPr>
              <w:overflowPunct w:val="0"/>
              <w:autoSpaceDE w:val="0"/>
              <w:autoSpaceDN w:val="0"/>
              <w:adjustRightInd w:val="0"/>
              <w:rPr>
                <w:sz w:val="20"/>
              </w:rPr>
            </w:pPr>
            <w:r w:rsidRPr="00C501D5">
              <w:rPr>
                <w:sz w:val="20"/>
              </w:rPr>
              <w:t>Huang et al., 2015</w:t>
            </w:r>
          </w:p>
        </w:tc>
        <w:tc>
          <w:tcPr>
            <w:tcW w:w="1985" w:type="dxa"/>
            <w:shd w:val="clear" w:color="auto" w:fill="auto"/>
          </w:tcPr>
          <w:p w14:paraId="2158B6BB" w14:textId="77777777" w:rsidR="00D85296" w:rsidRPr="00C501D5" w:rsidRDefault="00D85296" w:rsidP="00C501D5">
            <w:pPr>
              <w:overflowPunct w:val="0"/>
              <w:autoSpaceDE w:val="0"/>
              <w:autoSpaceDN w:val="0"/>
              <w:adjustRightInd w:val="0"/>
              <w:jc w:val="both"/>
              <w:rPr>
                <w:sz w:val="20"/>
              </w:rPr>
            </w:pPr>
            <w:r w:rsidRPr="00C501D5">
              <w:rPr>
                <w:sz w:val="20"/>
              </w:rPr>
              <w:t>PLP-LPUVA (a)</w:t>
            </w:r>
          </w:p>
        </w:tc>
      </w:tr>
      <w:tr w:rsidR="00015D46" w:rsidRPr="001D3940" w14:paraId="3032347C" w14:textId="77777777" w:rsidTr="001B11F8">
        <w:tc>
          <w:tcPr>
            <w:tcW w:w="2507" w:type="dxa"/>
            <w:shd w:val="clear" w:color="auto" w:fill="auto"/>
          </w:tcPr>
          <w:p w14:paraId="7B96667C" w14:textId="77777777" w:rsidR="00015D46" w:rsidRPr="00015D46" w:rsidRDefault="00015D46" w:rsidP="00C501D5">
            <w:pPr>
              <w:overflowPunct w:val="0"/>
              <w:autoSpaceDE w:val="0"/>
              <w:autoSpaceDN w:val="0"/>
              <w:adjustRightInd w:val="0"/>
              <w:jc w:val="both"/>
              <w:rPr>
                <w:iCs/>
                <w:sz w:val="20"/>
                <w:u w:val="single"/>
              </w:rPr>
            </w:pPr>
            <w:r>
              <w:rPr>
                <w:iCs/>
                <w:sz w:val="20"/>
                <w:u w:val="single"/>
              </w:rPr>
              <w:t xml:space="preserve"> </w:t>
            </w:r>
            <w:r w:rsidRPr="00D85296">
              <w:rPr>
                <w:iCs/>
                <w:sz w:val="20"/>
                <w:u w:val="single"/>
              </w:rPr>
              <w:t>(1.32 ± 0.02) × 10</w:t>
            </w:r>
            <w:r w:rsidRPr="00D85296">
              <w:rPr>
                <w:iCs/>
                <w:sz w:val="20"/>
                <w:u w:val="single"/>
                <w:vertAlign w:val="superscript"/>
              </w:rPr>
              <w:t>-10</w:t>
            </w:r>
            <w:r>
              <w:rPr>
                <w:iCs/>
                <w:sz w:val="20"/>
                <w:u w:val="single"/>
              </w:rPr>
              <w:t xml:space="preserve"> [</w:t>
            </w:r>
            <w:r w:rsidRPr="00D85296">
              <w:rPr>
                <w:i/>
                <w:sz w:val="20"/>
                <w:u w:val="single"/>
              </w:rPr>
              <w:t>M</w:t>
            </w:r>
            <w:r>
              <w:rPr>
                <w:iCs/>
                <w:sz w:val="20"/>
                <w:u w:val="single"/>
              </w:rPr>
              <w:t>]</w:t>
            </w:r>
            <w:r w:rsidRPr="00D85296">
              <w:rPr>
                <w:iCs/>
                <w:sz w:val="20"/>
                <w:u w:val="single"/>
              </w:rPr>
              <w:t xml:space="preserve">              </w:t>
            </w:r>
            <w:r w:rsidRPr="00D85296">
              <w:rPr>
                <w:iCs/>
                <w:sz w:val="20"/>
                <w:u w:val="single"/>
                <w:vertAlign w:val="superscript"/>
              </w:rPr>
              <w:t xml:space="preserve">    </w:t>
            </w:r>
          </w:p>
        </w:tc>
        <w:tc>
          <w:tcPr>
            <w:tcW w:w="992" w:type="dxa"/>
            <w:vMerge w:val="restart"/>
          </w:tcPr>
          <w:p w14:paraId="53E6A559" w14:textId="77777777" w:rsidR="00015D46" w:rsidRPr="00C501D5" w:rsidRDefault="00015D46" w:rsidP="00015D46">
            <w:pPr>
              <w:overflowPunct w:val="0"/>
              <w:autoSpaceDE w:val="0"/>
              <w:autoSpaceDN w:val="0"/>
              <w:adjustRightInd w:val="0"/>
              <w:spacing w:before="120"/>
              <w:rPr>
                <w:sz w:val="20"/>
              </w:rPr>
            </w:pPr>
            <w:r>
              <w:rPr>
                <w:sz w:val="20"/>
              </w:rPr>
              <w:t>1</w:t>
            </w:r>
            <w:r w:rsidR="009F4230">
              <w:rPr>
                <w:sz w:val="20"/>
              </w:rPr>
              <w:t>3</w:t>
            </w:r>
            <w:r>
              <w:rPr>
                <w:sz w:val="20"/>
              </w:rPr>
              <w:t>-</w:t>
            </w:r>
            <w:r w:rsidR="009F4230">
              <w:rPr>
                <w:sz w:val="20"/>
              </w:rPr>
              <w:t>103</w:t>
            </w:r>
            <w:r>
              <w:rPr>
                <w:sz w:val="20"/>
              </w:rPr>
              <w:t>0</w:t>
            </w:r>
          </w:p>
        </w:tc>
        <w:tc>
          <w:tcPr>
            <w:tcW w:w="993" w:type="dxa"/>
            <w:vMerge w:val="restart"/>
            <w:shd w:val="clear" w:color="auto" w:fill="auto"/>
          </w:tcPr>
          <w:p w14:paraId="52621C60" w14:textId="77777777" w:rsidR="00015D46" w:rsidRPr="00C501D5" w:rsidRDefault="00015D46" w:rsidP="00015D46">
            <w:pPr>
              <w:overflowPunct w:val="0"/>
              <w:autoSpaceDE w:val="0"/>
              <w:autoSpaceDN w:val="0"/>
              <w:adjustRightInd w:val="0"/>
              <w:spacing w:before="120"/>
              <w:rPr>
                <w:sz w:val="20"/>
              </w:rPr>
            </w:pPr>
            <w:r>
              <w:rPr>
                <w:sz w:val="20"/>
              </w:rPr>
              <w:t>298</w:t>
            </w:r>
          </w:p>
        </w:tc>
        <w:tc>
          <w:tcPr>
            <w:tcW w:w="2551" w:type="dxa"/>
            <w:gridSpan w:val="2"/>
            <w:shd w:val="clear" w:color="auto" w:fill="auto"/>
          </w:tcPr>
          <w:p w14:paraId="18E76EF0" w14:textId="77777777" w:rsidR="00015D46" w:rsidRPr="00C501D5" w:rsidRDefault="00015D46" w:rsidP="00C501D5">
            <w:pPr>
              <w:overflowPunct w:val="0"/>
              <w:autoSpaceDE w:val="0"/>
              <w:autoSpaceDN w:val="0"/>
              <w:adjustRightInd w:val="0"/>
              <w:rPr>
                <w:sz w:val="20"/>
              </w:rPr>
            </w:pPr>
          </w:p>
        </w:tc>
        <w:tc>
          <w:tcPr>
            <w:tcW w:w="1985" w:type="dxa"/>
            <w:shd w:val="clear" w:color="auto" w:fill="auto"/>
          </w:tcPr>
          <w:p w14:paraId="01979B6C" w14:textId="77777777" w:rsidR="00015D46" w:rsidRPr="00C501D5" w:rsidRDefault="00015D46" w:rsidP="00C501D5">
            <w:pPr>
              <w:overflowPunct w:val="0"/>
              <w:autoSpaceDE w:val="0"/>
              <w:autoSpaceDN w:val="0"/>
              <w:adjustRightInd w:val="0"/>
              <w:jc w:val="both"/>
              <w:rPr>
                <w:sz w:val="20"/>
              </w:rPr>
            </w:pPr>
          </w:p>
        </w:tc>
      </w:tr>
      <w:tr w:rsidR="00015D46" w:rsidRPr="001D3940" w14:paraId="7F45A08F" w14:textId="77777777" w:rsidTr="001B11F8">
        <w:tc>
          <w:tcPr>
            <w:tcW w:w="2507" w:type="dxa"/>
            <w:shd w:val="clear" w:color="auto" w:fill="auto"/>
          </w:tcPr>
          <w:p w14:paraId="11144002" w14:textId="77777777" w:rsidR="00015D46" w:rsidRPr="00940D3A" w:rsidRDefault="00015D46" w:rsidP="00C501D5">
            <w:pPr>
              <w:overflowPunct w:val="0"/>
              <w:autoSpaceDE w:val="0"/>
              <w:autoSpaceDN w:val="0"/>
              <w:adjustRightInd w:val="0"/>
              <w:jc w:val="both"/>
              <w:rPr>
                <w:iCs/>
                <w:sz w:val="16"/>
                <w:szCs w:val="16"/>
              </w:rPr>
            </w:pPr>
            <w:r w:rsidRPr="00940D3A">
              <w:rPr>
                <w:iCs/>
                <w:sz w:val="20"/>
              </w:rPr>
              <w:t>(</w:t>
            </w:r>
            <w:r>
              <w:rPr>
                <w:iCs/>
                <w:sz w:val="20"/>
              </w:rPr>
              <w:t>4.88</w:t>
            </w:r>
            <w:r w:rsidRPr="00940D3A">
              <w:rPr>
                <w:iCs/>
                <w:sz w:val="20"/>
              </w:rPr>
              <w:t xml:space="preserve"> ± 0.</w:t>
            </w:r>
            <w:r>
              <w:rPr>
                <w:iCs/>
                <w:sz w:val="20"/>
              </w:rPr>
              <w:t>3</w:t>
            </w:r>
            <w:r w:rsidRPr="00940D3A">
              <w:rPr>
                <w:iCs/>
                <w:sz w:val="20"/>
              </w:rPr>
              <w:t>2) × 10</w:t>
            </w:r>
            <w:r>
              <w:rPr>
                <w:iCs/>
                <w:sz w:val="20"/>
                <w:vertAlign w:val="superscript"/>
              </w:rPr>
              <w:t>17</w:t>
            </w:r>
            <w:r>
              <w:rPr>
                <w:iCs/>
                <w:sz w:val="20"/>
              </w:rPr>
              <w:t xml:space="preserve"> + [</w:t>
            </w:r>
            <w:r w:rsidRPr="00D85296">
              <w:rPr>
                <w:i/>
                <w:sz w:val="20"/>
              </w:rPr>
              <w:t>M</w:t>
            </w:r>
            <w:r>
              <w:rPr>
                <w:iCs/>
                <w:sz w:val="20"/>
              </w:rPr>
              <w:t>]</w:t>
            </w:r>
          </w:p>
        </w:tc>
        <w:tc>
          <w:tcPr>
            <w:tcW w:w="992" w:type="dxa"/>
            <w:vMerge/>
          </w:tcPr>
          <w:p w14:paraId="50E84C3A" w14:textId="77777777" w:rsidR="00015D46" w:rsidRPr="00C501D5" w:rsidRDefault="00015D46" w:rsidP="00C501D5">
            <w:pPr>
              <w:overflowPunct w:val="0"/>
              <w:autoSpaceDE w:val="0"/>
              <w:autoSpaceDN w:val="0"/>
              <w:adjustRightInd w:val="0"/>
              <w:rPr>
                <w:sz w:val="20"/>
              </w:rPr>
            </w:pPr>
          </w:p>
        </w:tc>
        <w:tc>
          <w:tcPr>
            <w:tcW w:w="993" w:type="dxa"/>
            <w:vMerge/>
            <w:shd w:val="clear" w:color="auto" w:fill="auto"/>
          </w:tcPr>
          <w:p w14:paraId="7AC137CD" w14:textId="77777777" w:rsidR="00015D46" w:rsidRPr="00C501D5" w:rsidRDefault="00015D46" w:rsidP="00C501D5">
            <w:pPr>
              <w:overflowPunct w:val="0"/>
              <w:autoSpaceDE w:val="0"/>
              <w:autoSpaceDN w:val="0"/>
              <w:adjustRightInd w:val="0"/>
              <w:rPr>
                <w:sz w:val="20"/>
              </w:rPr>
            </w:pPr>
          </w:p>
        </w:tc>
        <w:tc>
          <w:tcPr>
            <w:tcW w:w="2551" w:type="dxa"/>
            <w:gridSpan w:val="2"/>
            <w:shd w:val="clear" w:color="auto" w:fill="auto"/>
          </w:tcPr>
          <w:p w14:paraId="6186BD30" w14:textId="77777777" w:rsidR="00015D46" w:rsidRPr="00C501D5" w:rsidRDefault="00015D46" w:rsidP="00C501D5">
            <w:pPr>
              <w:overflowPunct w:val="0"/>
              <w:autoSpaceDE w:val="0"/>
              <w:autoSpaceDN w:val="0"/>
              <w:adjustRightInd w:val="0"/>
              <w:rPr>
                <w:sz w:val="20"/>
              </w:rPr>
            </w:pPr>
          </w:p>
        </w:tc>
        <w:tc>
          <w:tcPr>
            <w:tcW w:w="1985" w:type="dxa"/>
            <w:shd w:val="clear" w:color="auto" w:fill="auto"/>
          </w:tcPr>
          <w:p w14:paraId="0914D540" w14:textId="77777777" w:rsidR="00015D46" w:rsidRPr="00C501D5" w:rsidRDefault="00015D46" w:rsidP="00C501D5">
            <w:pPr>
              <w:overflowPunct w:val="0"/>
              <w:autoSpaceDE w:val="0"/>
              <w:autoSpaceDN w:val="0"/>
              <w:adjustRightInd w:val="0"/>
              <w:jc w:val="both"/>
              <w:rPr>
                <w:sz w:val="20"/>
              </w:rPr>
            </w:pPr>
          </w:p>
        </w:tc>
      </w:tr>
      <w:tr w:rsidR="00D85296" w:rsidRPr="001D3940" w14:paraId="0856EDC5" w14:textId="77777777" w:rsidTr="001B11F8">
        <w:tc>
          <w:tcPr>
            <w:tcW w:w="2507" w:type="dxa"/>
            <w:shd w:val="clear" w:color="auto" w:fill="auto"/>
          </w:tcPr>
          <w:p w14:paraId="2D2D8383" w14:textId="77777777" w:rsidR="00D85296" w:rsidRPr="00DC1D99" w:rsidRDefault="00D85296" w:rsidP="007F6A59">
            <w:pPr>
              <w:overflowPunct w:val="0"/>
              <w:autoSpaceDE w:val="0"/>
              <w:autoSpaceDN w:val="0"/>
              <w:adjustRightInd w:val="0"/>
              <w:jc w:val="both"/>
              <w:rPr>
                <w:sz w:val="20"/>
              </w:rPr>
            </w:pPr>
            <w:r w:rsidRPr="001F4575">
              <w:rPr>
                <w:i/>
                <w:sz w:val="20"/>
              </w:rPr>
              <w:t>k</w:t>
            </w:r>
            <w:r w:rsidRPr="001F4575">
              <w:rPr>
                <w:iCs/>
                <w:sz w:val="20"/>
                <w:vertAlign w:val="subscript"/>
              </w:rPr>
              <w:t>∞</w:t>
            </w:r>
            <w:r>
              <w:rPr>
                <w:iCs/>
                <w:sz w:val="20"/>
              </w:rPr>
              <w:t xml:space="preserve"> = (1.90 </w:t>
            </w:r>
            <w:r w:rsidRPr="00C501D5">
              <w:rPr>
                <w:iCs/>
                <w:sz w:val="20"/>
              </w:rPr>
              <w:t xml:space="preserve">± </w:t>
            </w:r>
            <w:r>
              <w:rPr>
                <w:iCs/>
                <w:sz w:val="20"/>
              </w:rPr>
              <w:t>0.19) × 10</w:t>
            </w:r>
            <w:r>
              <w:rPr>
                <w:iCs/>
                <w:sz w:val="20"/>
                <w:vertAlign w:val="superscript"/>
              </w:rPr>
              <w:t>-10</w:t>
            </w:r>
          </w:p>
        </w:tc>
        <w:tc>
          <w:tcPr>
            <w:tcW w:w="992" w:type="dxa"/>
          </w:tcPr>
          <w:p w14:paraId="461B1247" w14:textId="77777777" w:rsidR="00D85296" w:rsidRPr="007F6A59" w:rsidRDefault="009F4230" w:rsidP="007F6A59">
            <w:pPr>
              <w:overflowPunct w:val="0"/>
              <w:autoSpaceDE w:val="0"/>
              <w:autoSpaceDN w:val="0"/>
              <w:adjustRightInd w:val="0"/>
              <w:rPr>
                <w:sz w:val="20"/>
              </w:rPr>
            </w:pPr>
            <w:r>
              <w:rPr>
                <w:sz w:val="20"/>
              </w:rPr>
              <w:t>4</w:t>
            </w:r>
            <w:r w:rsidR="00015D46">
              <w:rPr>
                <w:sz w:val="20"/>
              </w:rPr>
              <w:t>00</w:t>
            </w:r>
          </w:p>
        </w:tc>
        <w:tc>
          <w:tcPr>
            <w:tcW w:w="993" w:type="dxa"/>
            <w:shd w:val="clear" w:color="auto" w:fill="auto"/>
          </w:tcPr>
          <w:p w14:paraId="179917E5" w14:textId="77777777" w:rsidR="00D85296" w:rsidRPr="007F6A59" w:rsidRDefault="00D85296" w:rsidP="007F6A59">
            <w:pPr>
              <w:overflowPunct w:val="0"/>
              <w:autoSpaceDE w:val="0"/>
              <w:autoSpaceDN w:val="0"/>
              <w:adjustRightInd w:val="0"/>
              <w:rPr>
                <w:sz w:val="20"/>
              </w:rPr>
            </w:pPr>
            <w:r w:rsidRPr="007F6A59">
              <w:rPr>
                <w:sz w:val="20"/>
              </w:rPr>
              <w:t>2</w:t>
            </w:r>
            <w:r>
              <w:rPr>
                <w:sz w:val="20"/>
              </w:rPr>
              <w:t>83</w:t>
            </w:r>
          </w:p>
        </w:tc>
        <w:tc>
          <w:tcPr>
            <w:tcW w:w="2551" w:type="dxa"/>
            <w:gridSpan w:val="2"/>
            <w:shd w:val="clear" w:color="auto" w:fill="auto"/>
          </w:tcPr>
          <w:p w14:paraId="67366775" w14:textId="77777777" w:rsidR="00D85296" w:rsidRPr="007F6A59" w:rsidRDefault="00D85296" w:rsidP="007F6A59">
            <w:pPr>
              <w:overflowPunct w:val="0"/>
              <w:autoSpaceDE w:val="0"/>
              <w:autoSpaceDN w:val="0"/>
              <w:adjustRightInd w:val="0"/>
              <w:rPr>
                <w:sz w:val="20"/>
              </w:rPr>
            </w:pPr>
            <w:r w:rsidRPr="007F6A59">
              <w:rPr>
                <w:sz w:val="20"/>
              </w:rPr>
              <w:t>Smith et al., 2016</w:t>
            </w:r>
          </w:p>
        </w:tc>
        <w:tc>
          <w:tcPr>
            <w:tcW w:w="1985" w:type="dxa"/>
            <w:shd w:val="clear" w:color="auto" w:fill="auto"/>
          </w:tcPr>
          <w:p w14:paraId="2D2BE758" w14:textId="77777777" w:rsidR="00D85296" w:rsidRPr="007F6A59" w:rsidRDefault="00D85296" w:rsidP="007F6A59">
            <w:pPr>
              <w:overflowPunct w:val="0"/>
              <w:autoSpaceDE w:val="0"/>
              <w:autoSpaceDN w:val="0"/>
              <w:adjustRightInd w:val="0"/>
              <w:jc w:val="both"/>
              <w:rPr>
                <w:sz w:val="20"/>
              </w:rPr>
            </w:pPr>
            <w:r w:rsidRPr="007F6A59">
              <w:rPr>
                <w:sz w:val="20"/>
              </w:rPr>
              <w:t>PLP-LPUVA</w:t>
            </w:r>
            <w:r>
              <w:rPr>
                <w:sz w:val="20"/>
              </w:rPr>
              <w:t xml:space="preserve"> (b)</w:t>
            </w:r>
          </w:p>
        </w:tc>
      </w:tr>
      <w:tr w:rsidR="00D85296" w:rsidRPr="001D3940" w14:paraId="152591F2" w14:textId="77777777" w:rsidTr="001B11F8">
        <w:tc>
          <w:tcPr>
            <w:tcW w:w="2507" w:type="dxa"/>
            <w:shd w:val="clear" w:color="auto" w:fill="auto"/>
          </w:tcPr>
          <w:p w14:paraId="09EC4708" w14:textId="77777777" w:rsidR="00D85296" w:rsidRPr="00C501D5" w:rsidRDefault="00D85296" w:rsidP="007F6A59">
            <w:pPr>
              <w:overflowPunct w:val="0"/>
              <w:autoSpaceDE w:val="0"/>
              <w:autoSpaceDN w:val="0"/>
              <w:adjustRightInd w:val="0"/>
              <w:jc w:val="both"/>
              <w:rPr>
                <w:iCs/>
                <w:sz w:val="20"/>
              </w:rPr>
            </w:pPr>
            <w:r w:rsidRPr="001F4575">
              <w:rPr>
                <w:i/>
                <w:sz w:val="20"/>
              </w:rPr>
              <w:t>k</w:t>
            </w:r>
            <w:r w:rsidRPr="001F4575">
              <w:rPr>
                <w:iCs/>
                <w:sz w:val="20"/>
                <w:vertAlign w:val="subscript"/>
              </w:rPr>
              <w:t>∞</w:t>
            </w:r>
            <w:r>
              <w:rPr>
                <w:iCs/>
                <w:sz w:val="20"/>
              </w:rPr>
              <w:t xml:space="preserve"> = (1.53 </w:t>
            </w:r>
            <w:r w:rsidRPr="00C501D5">
              <w:rPr>
                <w:iCs/>
                <w:sz w:val="20"/>
              </w:rPr>
              <w:t xml:space="preserve">± </w:t>
            </w:r>
            <w:r>
              <w:rPr>
                <w:iCs/>
                <w:sz w:val="20"/>
              </w:rPr>
              <w:t>0.15) × 10</w:t>
            </w:r>
            <w:r>
              <w:rPr>
                <w:iCs/>
                <w:sz w:val="20"/>
                <w:vertAlign w:val="superscript"/>
              </w:rPr>
              <w:t>-10</w:t>
            </w:r>
          </w:p>
        </w:tc>
        <w:tc>
          <w:tcPr>
            <w:tcW w:w="992" w:type="dxa"/>
          </w:tcPr>
          <w:p w14:paraId="486DB4AE" w14:textId="77777777" w:rsidR="00D85296" w:rsidRDefault="009F4230" w:rsidP="007F6A59">
            <w:pPr>
              <w:overflowPunct w:val="0"/>
              <w:autoSpaceDE w:val="0"/>
              <w:autoSpaceDN w:val="0"/>
              <w:adjustRightInd w:val="0"/>
              <w:rPr>
                <w:sz w:val="20"/>
              </w:rPr>
            </w:pPr>
            <w:r>
              <w:rPr>
                <w:sz w:val="20"/>
              </w:rPr>
              <w:t>4</w:t>
            </w:r>
            <w:r w:rsidR="00015D46">
              <w:rPr>
                <w:sz w:val="20"/>
              </w:rPr>
              <w:t>00</w:t>
            </w:r>
          </w:p>
        </w:tc>
        <w:tc>
          <w:tcPr>
            <w:tcW w:w="993" w:type="dxa"/>
            <w:shd w:val="clear" w:color="auto" w:fill="auto"/>
          </w:tcPr>
          <w:p w14:paraId="33B94896" w14:textId="77777777" w:rsidR="00D85296" w:rsidRPr="007F6A59" w:rsidRDefault="00D85296" w:rsidP="007F6A59">
            <w:pPr>
              <w:overflowPunct w:val="0"/>
              <w:autoSpaceDE w:val="0"/>
              <w:autoSpaceDN w:val="0"/>
              <w:adjustRightInd w:val="0"/>
              <w:rPr>
                <w:sz w:val="20"/>
              </w:rPr>
            </w:pPr>
            <w:r>
              <w:rPr>
                <w:sz w:val="20"/>
              </w:rPr>
              <w:t>293</w:t>
            </w:r>
          </w:p>
        </w:tc>
        <w:tc>
          <w:tcPr>
            <w:tcW w:w="2551" w:type="dxa"/>
            <w:gridSpan w:val="2"/>
            <w:shd w:val="clear" w:color="auto" w:fill="auto"/>
          </w:tcPr>
          <w:p w14:paraId="66226002" w14:textId="77777777" w:rsidR="00D85296" w:rsidRPr="007F6A59" w:rsidRDefault="00D85296" w:rsidP="007F6A59">
            <w:pPr>
              <w:overflowPunct w:val="0"/>
              <w:autoSpaceDE w:val="0"/>
              <w:autoSpaceDN w:val="0"/>
              <w:adjustRightInd w:val="0"/>
              <w:rPr>
                <w:sz w:val="20"/>
              </w:rPr>
            </w:pPr>
          </w:p>
        </w:tc>
        <w:tc>
          <w:tcPr>
            <w:tcW w:w="1985" w:type="dxa"/>
            <w:shd w:val="clear" w:color="auto" w:fill="auto"/>
          </w:tcPr>
          <w:p w14:paraId="4FCA0B6F" w14:textId="77777777" w:rsidR="00D85296" w:rsidRPr="007F6A59" w:rsidRDefault="00D85296" w:rsidP="007F6A59">
            <w:pPr>
              <w:overflowPunct w:val="0"/>
              <w:autoSpaceDE w:val="0"/>
              <w:autoSpaceDN w:val="0"/>
              <w:adjustRightInd w:val="0"/>
              <w:jc w:val="both"/>
              <w:rPr>
                <w:sz w:val="20"/>
              </w:rPr>
            </w:pPr>
          </w:p>
        </w:tc>
      </w:tr>
      <w:tr w:rsidR="00D85296" w:rsidRPr="001D3940" w14:paraId="4E073E2C" w14:textId="77777777" w:rsidTr="001B11F8">
        <w:tc>
          <w:tcPr>
            <w:tcW w:w="2507" w:type="dxa"/>
            <w:shd w:val="clear" w:color="auto" w:fill="auto"/>
          </w:tcPr>
          <w:p w14:paraId="5D5CA49D" w14:textId="77777777" w:rsidR="00D85296" w:rsidRPr="00C501D5" w:rsidRDefault="00D85296" w:rsidP="007F6A59">
            <w:pPr>
              <w:overflowPunct w:val="0"/>
              <w:autoSpaceDE w:val="0"/>
              <w:autoSpaceDN w:val="0"/>
              <w:adjustRightInd w:val="0"/>
              <w:jc w:val="both"/>
              <w:rPr>
                <w:iCs/>
                <w:sz w:val="20"/>
              </w:rPr>
            </w:pPr>
            <w:r w:rsidRPr="001F4575">
              <w:rPr>
                <w:i/>
                <w:sz w:val="20"/>
              </w:rPr>
              <w:t>k</w:t>
            </w:r>
            <w:r w:rsidRPr="001F4575">
              <w:rPr>
                <w:iCs/>
                <w:sz w:val="20"/>
                <w:vertAlign w:val="subscript"/>
              </w:rPr>
              <w:t>∞</w:t>
            </w:r>
            <w:r>
              <w:rPr>
                <w:iCs/>
                <w:sz w:val="20"/>
              </w:rPr>
              <w:t xml:space="preserve"> = (1.26 </w:t>
            </w:r>
            <w:r w:rsidRPr="00C501D5">
              <w:rPr>
                <w:iCs/>
                <w:sz w:val="20"/>
              </w:rPr>
              <w:t xml:space="preserve">± </w:t>
            </w:r>
            <w:r>
              <w:rPr>
                <w:iCs/>
                <w:sz w:val="20"/>
              </w:rPr>
              <w:t>0.13) × 10</w:t>
            </w:r>
            <w:r>
              <w:rPr>
                <w:iCs/>
                <w:sz w:val="20"/>
                <w:vertAlign w:val="superscript"/>
              </w:rPr>
              <w:t>-10</w:t>
            </w:r>
          </w:p>
        </w:tc>
        <w:tc>
          <w:tcPr>
            <w:tcW w:w="992" w:type="dxa"/>
          </w:tcPr>
          <w:p w14:paraId="4624019D" w14:textId="77777777" w:rsidR="00D85296" w:rsidRDefault="009F4230" w:rsidP="007F6A59">
            <w:pPr>
              <w:overflowPunct w:val="0"/>
              <w:autoSpaceDE w:val="0"/>
              <w:autoSpaceDN w:val="0"/>
              <w:adjustRightInd w:val="0"/>
              <w:rPr>
                <w:sz w:val="20"/>
              </w:rPr>
            </w:pPr>
            <w:r>
              <w:rPr>
                <w:sz w:val="20"/>
              </w:rPr>
              <w:t>4</w:t>
            </w:r>
            <w:r w:rsidR="00015D46">
              <w:rPr>
                <w:sz w:val="20"/>
              </w:rPr>
              <w:t>00</w:t>
            </w:r>
          </w:p>
        </w:tc>
        <w:tc>
          <w:tcPr>
            <w:tcW w:w="993" w:type="dxa"/>
            <w:shd w:val="clear" w:color="auto" w:fill="auto"/>
          </w:tcPr>
          <w:p w14:paraId="6E5EB10F" w14:textId="77777777" w:rsidR="00D85296" w:rsidRPr="007F6A59" w:rsidRDefault="00D85296" w:rsidP="007F6A59">
            <w:pPr>
              <w:overflowPunct w:val="0"/>
              <w:autoSpaceDE w:val="0"/>
              <w:autoSpaceDN w:val="0"/>
              <w:adjustRightInd w:val="0"/>
              <w:rPr>
                <w:sz w:val="20"/>
              </w:rPr>
            </w:pPr>
            <w:r>
              <w:rPr>
                <w:sz w:val="20"/>
              </w:rPr>
              <w:t>303</w:t>
            </w:r>
          </w:p>
        </w:tc>
        <w:tc>
          <w:tcPr>
            <w:tcW w:w="2551" w:type="dxa"/>
            <w:gridSpan w:val="2"/>
            <w:shd w:val="clear" w:color="auto" w:fill="auto"/>
          </w:tcPr>
          <w:p w14:paraId="41BB8229" w14:textId="77777777" w:rsidR="00D85296" w:rsidRPr="007F6A59" w:rsidRDefault="00D85296" w:rsidP="007F6A59">
            <w:pPr>
              <w:overflowPunct w:val="0"/>
              <w:autoSpaceDE w:val="0"/>
              <w:autoSpaceDN w:val="0"/>
              <w:adjustRightInd w:val="0"/>
              <w:rPr>
                <w:sz w:val="20"/>
              </w:rPr>
            </w:pPr>
          </w:p>
        </w:tc>
        <w:tc>
          <w:tcPr>
            <w:tcW w:w="1985" w:type="dxa"/>
            <w:shd w:val="clear" w:color="auto" w:fill="auto"/>
          </w:tcPr>
          <w:p w14:paraId="517D4685" w14:textId="77777777" w:rsidR="00D85296" w:rsidRPr="007F6A59" w:rsidRDefault="00D85296" w:rsidP="007F6A59">
            <w:pPr>
              <w:overflowPunct w:val="0"/>
              <w:autoSpaceDE w:val="0"/>
              <w:autoSpaceDN w:val="0"/>
              <w:adjustRightInd w:val="0"/>
              <w:jc w:val="both"/>
              <w:rPr>
                <w:sz w:val="20"/>
              </w:rPr>
            </w:pPr>
          </w:p>
        </w:tc>
      </w:tr>
      <w:tr w:rsidR="00D85296" w:rsidRPr="001D3940" w14:paraId="1AFC22AE" w14:textId="77777777" w:rsidTr="001B11F8">
        <w:tc>
          <w:tcPr>
            <w:tcW w:w="2507" w:type="dxa"/>
            <w:shd w:val="clear" w:color="auto" w:fill="auto"/>
          </w:tcPr>
          <w:p w14:paraId="06E9005E" w14:textId="77777777" w:rsidR="00D85296" w:rsidRPr="00C501D5" w:rsidRDefault="00D85296" w:rsidP="00DC1D99">
            <w:pPr>
              <w:overflowPunct w:val="0"/>
              <w:autoSpaceDE w:val="0"/>
              <w:autoSpaceDN w:val="0"/>
              <w:adjustRightInd w:val="0"/>
              <w:jc w:val="both"/>
              <w:rPr>
                <w:iCs/>
                <w:sz w:val="20"/>
              </w:rPr>
            </w:pPr>
            <w:r>
              <w:rPr>
                <w:iCs/>
                <w:sz w:val="20"/>
              </w:rPr>
              <w:t xml:space="preserve">(7.3 </w:t>
            </w:r>
            <w:r w:rsidRPr="00C501D5">
              <w:rPr>
                <w:iCs/>
                <w:sz w:val="20"/>
              </w:rPr>
              <w:t xml:space="preserve">± </w:t>
            </w:r>
            <w:r>
              <w:rPr>
                <w:iCs/>
                <w:sz w:val="20"/>
              </w:rPr>
              <w:t>5.0) × 10</w:t>
            </w:r>
            <w:r>
              <w:rPr>
                <w:iCs/>
                <w:sz w:val="20"/>
                <w:vertAlign w:val="superscript"/>
              </w:rPr>
              <w:t>-11</w:t>
            </w:r>
          </w:p>
        </w:tc>
        <w:tc>
          <w:tcPr>
            <w:tcW w:w="992" w:type="dxa"/>
          </w:tcPr>
          <w:p w14:paraId="33BFDC95" w14:textId="77777777" w:rsidR="00D85296" w:rsidRPr="00AC6019" w:rsidRDefault="009F4230" w:rsidP="00DC1D99">
            <w:pPr>
              <w:overflowPunct w:val="0"/>
              <w:autoSpaceDE w:val="0"/>
              <w:autoSpaceDN w:val="0"/>
              <w:adjustRightInd w:val="0"/>
              <w:rPr>
                <w:sz w:val="20"/>
              </w:rPr>
            </w:pPr>
            <w:r>
              <w:rPr>
                <w:sz w:val="20"/>
              </w:rPr>
              <w:t>5.3</w:t>
            </w:r>
            <w:r w:rsidR="00015D46">
              <w:rPr>
                <w:sz w:val="20"/>
              </w:rPr>
              <w:t xml:space="preserve"> (He)</w:t>
            </w:r>
          </w:p>
        </w:tc>
        <w:tc>
          <w:tcPr>
            <w:tcW w:w="993" w:type="dxa"/>
            <w:shd w:val="clear" w:color="auto" w:fill="auto"/>
          </w:tcPr>
          <w:p w14:paraId="627E1013" w14:textId="77777777" w:rsidR="00D85296" w:rsidRPr="007F6A59" w:rsidRDefault="00D85296" w:rsidP="00DC1D99">
            <w:pPr>
              <w:overflowPunct w:val="0"/>
              <w:autoSpaceDE w:val="0"/>
              <w:autoSpaceDN w:val="0"/>
              <w:adjustRightInd w:val="0"/>
              <w:rPr>
                <w:sz w:val="20"/>
              </w:rPr>
            </w:pPr>
            <w:r w:rsidRPr="00AC6019">
              <w:rPr>
                <w:sz w:val="20"/>
              </w:rPr>
              <w:t>29</w:t>
            </w:r>
            <w:r w:rsidR="001B11F8">
              <w:rPr>
                <w:sz w:val="20"/>
              </w:rPr>
              <w:t>8</w:t>
            </w:r>
          </w:p>
        </w:tc>
        <w:tc>
          <w:tcPr>
            <w:tcW w:w="2551" w:type="dxa"/>
            <w:gridSpan w:val="2"/>
            <w:shd w:val="clear" w:color="auto" w:fill="auto"/>
          </w:tcPr>
          <w:p w14:paraId="193BA1D7" w14:textId="77777777" w:rsidR="00D85296" w:rsidRPr="007F6A59" w:rsidRDefault="00D85296" w:rsidP="00DC1D99">
            <w:pPr>
              <w:overflowPunct w:val="0"/>
              <w:autoSpaceDE w:val="0"/>
              <w:autoSpaceDN w:val="0"/>
              <w:adjustRightInd w:val="0"/>
              <w:rPr>
                <w:sz w:val="20"/>
              </w:rPr>
            </w:pPr>
            <w:bookmarkStart w:id="0" w:name="OLE_LINK1"/>
            <w:r w:rsidRPr="007F6A59">
              <w:rPr>
                <w:sz w:val="20"/>
              </w:rPr>
              <w:t>Chhantyal-Pun</w:t>
            </w:r>
            <w:bookmarkEnd w:id="0"/>
            <w:r w:rsidRPr="007F6A59">
              <w:rPr>
                <w:sz w:val="20"/>
              </w:rPr>
              <w:t xml:space="preserve"> et al.,</w:t>
            </w:r>
            <w:r>
              <w:rPr>
                <w:sz w:val="20"/>
              </w:rPr>
              <w:t xml:space="preserve"> 2017</w:t>
            </w:r>
          </w:p>
        </w:tc>
        <w:tc>
          <w:tcPr>
            <w:tcW w:w="1985" w:type="dxa"/>
            <w:shd w:val="clear" w:color="auto" w:fill="auto"/>
          </w:tcPr>
          <w:p w14:paraId="1FBC6F07" w14:textId="77777777" w:rsidR="00D85296" w:rsidRPr="007F6A59" w:rsidRDefault="00D85296" w:rsidP="00DC1D99">
            <w:pPr>
              <w:overflowPunct w:val="0"/>
              <w:autoSpaceDE w:val="0"/>
              <w:autoSpaceDN w:val="0"/>
              <w:adjustRightInd w:val="0"/>
              <w:jc w:val="both"/>
              <w:rPr>
                <w:sz w:val="20"/>
              </w:rPr>
            </w:pPr>
            <w:r w:rsidRPr="007F6A59">
              <w:rPr>
                <w:sz w:val="20"/>
              </w:rPr>
              <w:t>PLP-PIMS (c)</w:t>
            </w:r>
          </w:p>
        </w:tc>
      </w:tr>
      <w:tr w:rsidR="00046F46" w:rsidRPr="001D3940" w14:paraId="65B53DE7" w14:textId="77777777" w:rsidTr="001B11F8">
        <w:tc>
          <w:tcPr>
            <w:tcW w:w="2507" w:type="dxa"/>
            <w:shd w:val="clear" w:color="auto" w:fill="auto"/>
          </w:tcPr>
          <w:p w14:paraId="55CB3D75" w14:textId="77777777" w:rsidR="00046F46" w:rsidRDefault="00046F46" w:rsidP="00046F46">
            <w:pPr>
              <w:overflowPunct w:val="0"/>
              <w:autoSpaceDE w:val="0"/>
              <w:autoSpaceDN w:val="0"/>
              <w:adjustRightInd w:val="0"/>
              <w:jc w:val="both"/>
              <w:rPr>
                <w:iCs/>
                <w:sz w:val="20"/>
              </w:rPr>
            </w:pPr>
            <w:r>
              <w:rPr>
                <w:iCs/>
                <w:sz w:val="20"/>
              </w:rPr>
              <w:t xml:space="preserve">(1.5 </w:t>
            </w:r>
            <w:r w:rsidRPr="00C501D5">
              <w:rPr>
                <w:iCs/>
                <w:sz w:val="20"/>
              </w:rPr>
              <w:t xml:space="preserve">± </w:t>
            </w:r>
            <w:r>
              <w:rPr>
                <w:iCs/>
                <w:sz w:val="20"/>
              </w:rPr>
              <w:t>0.5) × 10</w:t>
            </w:r>
            <w:r>
              <w:rPr>
                <w:iCs/>
                <w:sz w:val="20"/>
                <w:vertAlign w:val="superscript"/>
              </w:rPr>
              <w:t>-10</w:t>
            </w:r>
          </w:p>
        </w:tc>
        <w:tc>
          <w:tcPr>
            <w:tcW w:w="992" w:type="dxa"/>
          </w:tcPr>
          <w:p w14:paraId="71019FF2" w14:textId="77777777" w:rsidR="00046F46" w:rsidRDefault="00046F46" w:rsidP="00046F46">
            <w:pPr>
              <w:overflowPunct w:val="0"/>
              <w:autoSpaceDE w:val="0"/>
              <w:autoSpaceDN w:val="0"/>
              <w:adjustRightInd w:val="0"/>
              <w:rPr>
                <w:sz w:val="20"/>
              </w:rPr>
            </w:pPr>
            <w:r>
              <w:rPr>
                <w:sz w:val="20"/>
              </w:rPr>
              <w:t>13 (He)</w:t>
            </w:r>
          </w:p>
        </w:tc>
        <w:tc>
          <w:tcPr>
            <w:tcW w:w="993" w:type="dxa"/>
            <w:shd w:val="clear" w:color="auto" w:fill="auto"/>
          </w:tcPr>
          <w:p w14:paraId="6661FD13" w14:textId="77777777" w:rsidR="00046F46" w:rsidRPr="00AC6019" w:rsidRDefault="00046F46" w:rsidP="00046F46">
            <w:pPr>
              <w:overflowPunct w:val="0"/>
              <w:autoSpaceDE w:val="0"/>
              <w:autoSpaceDN w:val="0"/>
              <w:adjustRightInd w:val="0"/>
              <w:rPr>
                <w:sz w:val="20"/>
              </w:rPr>
            </w:pPr>
            <w:r>
              <w:rPr>
                <w:sz w:val="20"/>
              </w:rPr>
              <w:t>298</w:t>
            </w:r>
          </w:p>
        </w:tc>
        <w:tc>
          <w:tcPr>
            <w:tcW w:w="2551" w:type="dxa"/>
            <w:gridSpan w:val="2"/>
            <w:shd w:val="clear" w:color="auto" w:fill="auto"/>
          </w:tcPr>
          <w:p w14:paraId="5836ACF9" w14:textId="77777777" w:rsidR="00046F46" w:rsidRPr="007F6A59" w:rsidRDefault="00046F46" w:rsidP="00046F46">
            <w:pPr>
              <w:overflowPunct w:val="0"/>
              <w:autoSpaceDE w:val="0"/>
              <w:autoSpaceDN w:val="0"/>
              <w:adjustRightInd w:val="0"/>
              <w:rPr>
                <w:sz w:val="20"/>
              </w:rPr>
            </w:pPr>
          </w:p>
        </w:tc>
        <w:tc>
          <w:tcPr>
            <w:tcW w:w="1985" w:type="dxa"/>
            <w:shd w:val="clear" w:color="auto" w:fill="auto"/>
          </w:tcPr>
          <w:p w14:paraId="4496BBF3" w14:textId="77777777" w:rsidR="00046F46" w:rsidRPr="007F6A59" w:rsidRDefault="00046F46" w:rsidP="00046F46">
            <w:pPr>
              <w:overflowPunct w:val="0"/>
              <w:autoSpaceDE w:val="0"/>
              <w:autoSpaceDN w:val="0"/>
              <w:adjustRightInd w:val="0"/>
              <w:jc w:val="both"/>
              <w:rPr>
                <w:sz w:val="20"/>
              </w:rPr>
            </w:pPr>
          </w:p>
        </w:tc>
      </w:tr>
      <w:tr w:rsidR="00381D92" w:rsidRPr="001D3940" w14:paraId="099BCCA0" w14:textId="77777777" w:rsidTr="001B11F8">
        <w:tc>
          <w:tcPr>
            <w:tcW w:w="2507" w:type="dxa"/>
            <w:tcBorders>
              <w:bottom w:val="single" w:sz="4" w:space="0" w:color="auto"/>
            </w:tcBorders>
            <w:shd w:val="clear" w:color="auto" w:fill="auto"/>
          </w:tcPr>
          <w:p w14:paraId="7514C4F2" w14:textId="77777777" w:rsidR="00381D92" w:rsidRPr="004708CA" w:rsidRDefault="00381D92" w:rsidP="00381D92">
            <w:pPr>
              <w:overflowPunct w:val="0"/>
              <w:autoSpaceDE w:val="0"/>
              <w:autoSpaceDN w:val="0"/>
              <w:adjustRightInd w:val="0"/>
              <w:spacing w:after="120"/>
              <w:jc w:val="both"/>
              <w:rPr>
                <w:rFonts w:cs="e364b11"/>
                <w:color w:val="auto"/>
                <w:sz w:val="20"/>
              </w:rPr>
            </w:pPr>
            <w:r w:rsidRPr="001F4575">
              <w:rPr>
                <w:i/>
                <w:sz w:val="20"/>
              </w:rPr>
              <w:t>k</w:t>
            </w:r>
            <w:r w:rsidRPr="001F4575">
              <w:rPr>
                <w:iCs/>
                <w:sz w:val="20"/>
                <w:vertAlign w:val="subscript"/>
              </w:rPr>
              <w:t>∞</w:t>
            </w:r>
            <w:r>
              <w:rPr>
                <w:iCs/>
                <w:sz w:val="20"/>
              </w:rPr>
              <w:t xml:space="preserve"> = (2.2 </w:t>
            </w:r>
            <w:r w:rsidRPr="00C501D5">
              <w:rPr>
                <w:iCs/>
                <w:sz w:val="20"/>
              </w:rPr>
              <w:t xml:space="preserve">± </w:t>
            </w:r>
            <w:r>
              <w:rPr>
                <w:iCs/>
                <w:sz w:val="20"/>
              </w:rPr>
              <w:t>0.1) × 10</w:t>
            </w:r>
            <w:r>
              <w:rPr>
                <w:iCs/>
                <w:sz w:val="20"/>
                <w:vertAlign w:val="superscript"/>
              </w:rPr>
              <w:t>-10</w:t>
            </w:r>
          </w:p>
        </w:tc>
        <w:tc>
          <w:tcPr>
            <w:tcW w:w="992" w:type="dxa"/>
            <w:tcBorders>
              <w:bottom w:val="single" w:sz="4" w:space="0" w:color="auto"/>
            </w:tcBorders>
          </w:tcPr>
          <w:p w14:paraId="38D465AF" w14:textId="77777777" w:rsidR="00381D92" w:rsidRPr="004708CA" w:rsidRDefault="00381D92" w:rsidP="00381D92">
            <w:pPr>
              <w:overflowPunct w:val="0"/>
              <w:autoSpaceDE w:val="0"/>
              <w:autoSpaceDN w:val="0"/>
              <w:adjustRightInd w:val="0"/>
              <w:spacing w:after="120"/>
              <w:rPr>
                <w:sz w:val="20"/>
              </w:rPr>
            </w:pPr>
            <w:r>
              <w:rPr>
                <w:sz w:val="20"/>
              </w:rPr>
              <w:t>67-133</w:t>
            </w:r>
          </w:p>
        </w:tc>
        <w:tc>
          <w:tcPr>
            <w:tcW w:w="993" w:type="dxa"/>
            <w:tcBorders>
              <w:bottom w:val="single" w:sz="4" w:space="0" w:color="auto"/>
            </w:tcBorders>
            <w:shd w:val="clear" w:color="auto" w:fill="auto"/>
          </w:tcPr>
          <w:p w14:paraId="474DC876" w14:textId="77777777" w:rsidR="00381D92" w:rsidRPr="004708CA" w:rsidRDefault="00381D92" w:rsidP="00381D92">
            <w:pPr>
              <w:overflowPunct w:val="0"/>
              <w:autoSpaceDE w:val="0"/>
              <w:autoSpaceDN w:val="0"/>
              <w:adjustRightInd w:val="0"/>
              <w:spacing w:after="120"/>
              <w:rPr>
                <w:color w:val="auto"/>
                <w:sz w:val="20"/>
                <w:lang w:eastAsia="en-US"/>
              </w:rPr>
            </w:pPr>
            <w:r>
              <w:rPr>
                <w:sz w:val="20"/>
              </w:rPr>
              <w:t>293</w:t>
            </w:r>
          </w:p>
        </w:tc>
        <w:tc>
          <w:tcPr>
            <w:tcW w:w="2551" w:type="dxa"/>
            <w:gridSpan w:val="2"/>
            <w:tcBorders>
              <w:bottom w:val="single" w:sz="4" w:space="0" w:color="auto"/>
            </w:tcBorders>
            <w:shd w:val="clear" w:color="auto" w:fill="auto"/>
          </w:tcPr>
          <w:p w14:paraId="0E102133" w14:textId="77777777" w:rsidR="00381D92" w:rsidRPr="004708CA" w:rsidRDefault="00381D92" w:rsidP="00381D92">
            <w:pPr>
              <w:overflowPunct w:val="0"/>
              <w:autoSpaceDE w:val="0"/>
              <w:autoSpaceDN w:val="0"/>
              <w:adjustRightInd w:val="0"/>
              <w:spacing w:after="120"/>
              <w:rPr>
                <w:color w:val="auto"/>
                <w:sz w:val="20"/>
                <w:lang w:eastAsia="en-US"/>
              </w:rPr>
            </w:pPr>
          </w:p>
        </w:tc>
        <w:tc>
          <w:tcPr>
            <w:tcW w:w="1985" w:type="dxa"/>
            <w:tcBorders>
              <w:bottom w:val="single" w:sz="4" w:space="0" w:color="auto"/>
            </w:tcBorders>
            <w:shd w:val="clear" w:color="auto" w:fill="auto"/>
          </w:tcPr>
          <w:p w14:paraId="1BD65C33" w14:textId="77777777" w:rsidR="00381D92" w:rsidRPr="00D83945" w:rsidRDefault="00381D92" w:rsidP="00381D92">
            <w:pPr>
              <w:spacing w:after="120"/>
              <w:ind w:right="-612"/>
              <w:rPr>
                <w:color w:val="auto"/>
                <w:sz w:val="20"/>
                <w:lang w:eastAsia="en-US"/>
              </w:rPr>
            </w:pPr>
            <w:r w:rsidRPr="007F6A59">
              <w:rPr>
                <w:sz w:val="20"/>
              </w:rPr>
              <w:t>PLP-</w:t>
            </w:r>
            <w:r>
              <w:rPr>
                <w:sz w:val="20"/>
              </w:rPr>
              <w:t>CRDS (c)</w:t>
            </w:r>
          </w:p>
        </w:tc>
      </w:tr>
    </w:tbl>
    <w:p w14:paraId="3905BD2A" w14:textId="77777777" w:rsidR="00F340B1" w:rsidRPr="001D3940" w:rsidRDefault="00F340B1" w:rsidP="00F340B1">
      <w:pPr>
        <w:tabs>
          <w:tab w:val="center" w:pos="4680"/>
        </w:tabs>
        <w:jc w:val="both"/>
        <w:rPr>
          <w:color w:val="auto"/>
        </w:rPr>
      </w:pPr>
    </w:p>
    <w:p w14:paraId="2C36C016" w14:textId="77777777" w:rsidR="00F340B1" w:rsidRPr="001D3940" w:rsidRDefault="00F340B1" w:rsidP="00F340B1">
      <w:pPr>
        <w:pStyle w:val="Heading5"/>
        <w:rPr>
          <w:color w:val="auto"/>
        </w:rPr>
      </w:pPr>
      <w:r w:rsidRPr="001D3940">
        <w:rPr>
          <w:color w:val="auto"/>
        </w:rPr>
        <w:t>Comments</w:t>
      </w:r>
    </w:p>
    <w:p w14:paraId="4B73DEF0" w14:textId="77777777" w:rsidR="00F340B1" w:rsidRPr="001D3940" w:rsidRDefault="00F340B1" w:rsidP="00F340B1">
      <w:pPr>
        <w:tabs>
          <w:tab w:val="left" w:pos="-1440"/>
          <w:tab w:val="left" w:pos="-720"/>
          <w:tab w:val="left" w:pos="444"/>
        </w:tabs>
        <w:jc w:val="both"/>
        <w:rPr>
          <w:color w:val="auto"/>
        </w:rPr>
      </w:pPr>
    </w:p>
    <w:p w14:paraId="6A9C37B5" w14:textId="77777777" w:rsidR="000A081F" w:rsidRPr="004708CA" w:rsidRDefault="000A081F" w:rsidP="000A081F">
      <w:pPr>
        <w:numPr>
          <w:ilvl w:val="0"/>
          <w:numId w:val="3"/>
        </w:numPr>
        <w:tabs>
          <w:tab w:val="left" w:pos="-1440"/>
          <w:tab w:val="left" w:pos="-720"/>
          <w:tab w:val="left" w:pos="426"/>
        </w:tabs>
        <w:jc w:val="both"/>
        <w:rPr>
          <w:spacing w:val="-3"/>
        </w:rPr>
      </w:pPr>
      <w:r w:rsidRPr="00913300">
        <w:rPr>
          <w:lang w:bidi="en-US"/>
        </w:rPr>
        <w:t>(CH</w:t>
      </w:r>
      <w:r w:rsidRPr="00913300">
        <w:rPr>
          <w:vertAlign w:val="subscript"/>
          <w:lang w:bidi="en-US"/>
        </w:rPr>
        <w:t>3</w:t>
      </w:r>
      <w:r w:rsidRPr="00913300">
        <w:rPr>
          <w:lang w:bidi="en-US"/>
        </w:rPr>
        <w:t>)</w:t>
      </w:r>
      <w:r w:rsidRPr="00913300">
        <w:rPr>
          <w:vertAlign w:val="subscript"/>
          <w:lang w:bidi="en-US"/>
        </w:rPr>
        <w:t>2</w:t>
      </w:r>
      <w:r w:rsidRPr="00913300">
        <w:rPr>
          <w:lang w:bidi="en-US"/>
        </w:rPr>
        <w:t>COO was generated from pulsed photolysis</w:t>
      </w:r>
      <w:r>
        <w:rPr>
          <w:lang w:bidi="en-US"/>
        </w:rPr>
        <w:t xml:space="preserve"> at 248 nm (</w:t>
      </w:r>
      <w:proofErr w:type="spellStart"/>
      <w:r w:rsidRPr="00913300">
        <w:rPr>
          <w:lang w:bidi="en-US"/>
        </w:rPr>
        <w:t>KrF</w:t>
      </w:r>
      <w:proofErr w:type="spellEnd"/>
      <w:r w:rsidRPr="00913300">
        <w:rPr>
          <w:lang w:bidi="en-US"/>
        </w:rPr>
        <w:t xml:space="preserve"> excimer laser</w:t>
      </w:r>
      <w:r>
        <w:rPr>
          <w:lang w:bidi="en-US"/>
        </w:rPr>
        <w:t>)</w:t>
      </w:r>
      <w:r w:rsidRPr="00913300">
        <w:rPr>
          <w:lang w:bidi="en-US"/>
        </w:rPr>
        <w:t xml:space="preserve"> of a gaseous mixture consisting of (CH</w:t>
      </w:r>
      <w:r w:rsidRPr="00913300">
        <w:rPr>
          <w:vertAlign w:val="subscript"/>
          <w:lang w:bidi="en-US"/>
        </w:rPr>
        <w:t>3</w:t>
      </w:r>
      <w:r w:rsidRPr="00913300">
        <w:rPr>
          <w:lang w:bidi="en-US"/>
        </w:rPr>
        <w:t>)</w:t>
      </w:r>
      <w:r w:rsidRPr="00913300">
        <w:rPr>
          <w:vertAlign w:val="subscript"/>
          <w:lang w:bidi="en-US"/>
        </w:rPr>
        <w:t>2</w:t>
      </w:r>
      <w:r w:rsidRPr="00913300">
        <w:rPr>
          <w:lang w:bidi="en-US"/>
        </w:rPr>
        <w:t>CI</w:t>
      </w:r>
      <w:r w:rsidRPr="00913300">
        <w:rPr>
          <w:vertAlign w:val="subscript"/>
          <w:lang w:bidi="en-US"/>
        </w:rPr>
        <w:t>2</w:t>
      </w:r>
      <w:r w:rsidRPr="00913300">
        <w:rPr>
          <w:lang w:bidi="en-US"/>
        </w:rPr>
        <w:t>, O</w:t>
      </w:r>
      <w:r w:rsidRPr="00913300">
        <w:rPr>
          <w:vertAlign w:val="subscript"/>
          <w:lang w:bidi="en-US"/>
        </w:rPr>
        <w:t>2</w:t>
      </w:r>
      <w:r w:rsidRPr="00913300">
        <w:rPr>
          <w:lang w:bidi="en-US"/>
        </w:rPr>
        <w:t xml:space="preserve"> and buffer gas (N</w:t>
      </w:r>
      <w:r w:rsidRPr="00913300">
        <w:rPr>
          <w:vertAlign w:val="subscript"/>
          <w:lang w:bidi="en-US"/>
        </w:rPr>
        <w:t>2</w:t>
      </w:r>
      <w:r w:rsidRPr="00913300">
        <w:rPr>
          <w:lang w:bidi="en-US"/>
        </w:rPr>
        <w:t>). (CH</w:t>
      </w:r>
      <w:r w:rsidRPr="00913300">
        <w:rPr>
          <w:vertAlign w:val="subscript"/>
          <w:lang w:bidi="en-US"/>
        </w:rPr>
        <w:t>3</w:t>
      </w:r>
      <w:r w:rsidRPr="00913300">
        <w:rPr>
          <w:lang w:bidi="en-US"/>
        </w:rPr>
        <w:t>)</w:t>
      </w:r>
      <w:r w:rsidRPr="00913300">
        <w:rPr>
          <w:vertAlign w:val="subscript"/>
          <w:lang w:bidi="en-US"/>
        </w:rPr>
        <w:t>2</w:t>
      </w:r>
      <w:r w:rsidRPr="00913300">
        <w:rPr>
          <w:lang w:bidi="en-US"/>
        </w:rPr>
        <w:t xml:space="preserve">COO was monitored by UV absorption in the region 300 – 450 nm, corresponding to the B̃ (1A′) ← X̃(1A′) electronic </w:t>
      </w:r>
      <w:proofErr w:type="gramStart"/>
      <w:r w:rsidRPr="00913300">
        <w:rPr>
          <w:lang w:bidi="en-US"/>
        </w:rPr>
        <w:t>transition..</w:t>
      </w:r>
      <w:proofErr w:type="gramEnd"/>
      <w:r w:rsidRPr="00913300">
        <w:rPr>
          <w:lang w:bidi="en-US"/>
        </w:rPr>
        <w:t xml:space="preserve"> (CH</w:t>
      </w:r>
      <w:r w:rsidRPr="00913300">
        <w:rPr>
          <w:vertAlign w:val="subscript"/>
          <w:lang w:bidi="en-US"/>
        </w:rPr>
        <w:t>3</w:t>
      </w:r>
      <w:r w:rsidRPr="00913300">
        <w:rPr>
          <w:lang w:bidi="en-US"/>
        </w:rPr>
        <w:t>)</w:t>
      </w:r>
      <w:r w:rsidRPr="00913300">
        <w:rPr>
          <w:vertAlign w:val="subscript"/>
          <w:lang w:bidi="en-US"/>
        </w:rPr>
        <w:t>2</w:t>
      </w:r>
      <w:r w:rsidRPr="00913300">
        <w:rPr>
          <w:lang w:bidi="en-US"/>
        </w:rPr>
        <w:t xml:space="preserve">COO decay kinetics were determined by recording the time-resolved UV absorption spectrum, after correction for other absorbers. IO, which is </w:t>
      </w:r>
      <w:r w:rsidRPr="00913300">
        <w:t xml:space="preserve">formed from </w:t>
      </w:r>
      <w:r>
        <w:t xml:space="preserve">a </w:t>
      </w:r>
      <w:r w:rsidRPr="00913300">
        <w:t>second</w:t>
      </w:r>
      <w:r>
        <w:t xml:space="preserve"> channel</w:t>
      </w:r>
      <w:r w:rsidRPr="00913300">
        <w:t xml:space="preserve"> of the reaction of </w:t>
      </w:r>
      <w:proofErr w:type="spellStart"/>
      <w:r w:rsidRPr="00913300">
        <w:t>iodoalkyl</w:t>
      </w:r>
      <w:proofErr w:type="spellEnd"/>
      <w:r w:rsidRPr="00913300">
        <w:t xml:space="preserve"> radicals with O</w:t>
      </w:r>
      <w:r w:rsidRPr="00913300">
        <w:rPr>
          <w:vertAlign w:val="subscript"/>
        </w:rPr>
        <w:t>2</w:t>
      </w:r>
      <w:r w:rsidRPr="00913300">
        <w:rPr>
          <w:lang w:bidi="en-US"/>
        </w:rPr>
        <w:t>, was also detected.</w:t>
      </w:r>
      <w:r>
        <w:rPr>
          <w:lang w:bidi="en-US"/>
        </w:rPr>
        <w:t xml:space="preserve"> The dependence of the first-order decay constants on </w:t>
      </w:r>
      <w:r w:rsidRPr="00913300">
        <w:t>[</w:t>
      </w:r>
      <w:r w:rsidRPr="00913300">
        <w:rPr>
          <w:lang w:bidi="en-US"/>
        </w:rPr>
        <w:t>SO</w:t>
      </w:r>
      <w:r w:rsidRPr="00913300">
        <w:rPr>
          <w:vertAlign w:val="subscript"/>
          <w:lang w:bidi="en-US"/>
        </w:rPr>
        <w:t>2</w:t>
      </w:r>
      <w:r w:rsidRPr="00913300">
        <w:t>] was used to determine</w:t>
      </w:r>
      <w:r w:rsidRPr="00913300">
        <w:rPr>
          <w:lang w:bidi="en-US"/>
        </w:rPr>
        <w:t xml:space="preserve"> </w:t>
      </w:r>
      <w:r w:rsidRPr="00913300">
        <w:rPr>
          <w:i/>
          <w:lang w:bidi="en-US"/>
        </w:rPr>
        <w:t>k</w:t>
      </w:r>
      <w:r>
        <w:rPr>
          <w:lang w:bidi="en-US"/>
        </w:rPr>
        <w:t>, t</w:t>
      </w:r>
      <w:r w:rsidRPr="00913300">
        <w:rPr>
          <w:lang w:bidi="en-US"/>
        </w:rPr>
        <w:t>he values</w:t>
      </w:r>
      <w:r>
        <w:rPr>
          <w:lang w:bidi="en-US"/>
        </w:rPr>
        <w:t xml:space="preserve"> of which</w:t>
      </w:r>
      <w:r w:rsidRPr="00913300">
        <w:rPr>
          <w:lang w:bidi="en-US"/>
        </w:rPr>
        <w:t xml:space="preserve"> were independent of total pressure above </w:t>
      </w:r>
      <w:r>
        <w:rPr>
          <w:lang w:bidi="en-US"/>
        </w:rPr>
        <w:t>133 mbar (</w:t>
      </w:r>
      <w:r w:rsidRPr="00913300">
        <w:rPr>
          <w:lang w:bidi="en-US"/>
        </w:rPr>
        <w:t>100 Torr</w:t>
      </w:r>
      <w:r>
        <w:rPr>
          <w:lang w:bidi="en-US"/>
        </w:rPr>
        <w:t>). A</w:t>
      </w:r>
      <w:r w:rsidRPr="00913300">
        <w:rPr>
          <w:lang w:bidi="en-US"/>
        </w:rPr>
        <w:t>t lower pressures</w:t>
      </w:r>
      <w:r>
        <w:rPr>
          <w:lang w:bidi="en-US"/>
        </w:rPr>
        <w:t>,</w:t>
      </w:r>
      <w:r w:rsidRPr="00913300">
        <w:rPr>
          <w:lang w:bidi="en-US"/>
        </w:rPr>
        <w:t xml:space="preserve"> the rate constant declined with pressure. This was attributed to participation of an unstable adduct formed in the reaction which can be </w:t>
      </w:r>
      <w:proofErr w:type="spellStart"/>
      <w:r>
        <w:rPr>
          <w:lang w:bidi="en-US"/>
        </w:rPr>
        <w:t>collisionally</w:t>
      </w:r>
      <w:proofErr w:type="spellEnd"/>
      <w:r>
        <w:rPr>
          <w:lang w:bidi="en-US"/>
        </w:rPr>
        <w:t xml:space="preserve"> stabiliz</w:t>
      </w:r>
      <w:r w:rsidRPr="00913300">
        <w:rPr>
          <w:lang w:bidi="en-US"/>
        </w:rPr>
        <w:t xml:space="preserve">ed. </w:t>
      </w:r>
      <w:r>
        <w:rPr>
          <w:lang w:bidi="en-US"/>
        </w:rPr>
        <w:t>A</w:t>
      </w:r>
      <w:r w:rsidRPr="00913300">
        <w:rPr>
          <w:lang w:bidi="en-US"/>
        </w:rPr>
        <w:t xml:space="preserve"> simple L</w:t>
      </w:r>
      <w:r>
        <w:rPr>
          <w:lang w:bidi="en-US"/>
        </w:rPr>
        <w:t>indemann</w:t>
      </w:r>
      <w:r w:rsidRPr="00913300">
        <w:rPr>
          <w:lang w:bidi="en-US"/>
        </w:rPr>
        <w:t>-H</w:t>
      </w:r>
      <w:r>
        <w:rPr>
          <w:lang w:bidi="en-US"/>
        </w:rPr>
        <w:t>inshelwood</w:t>
      </w:r>
      <w:r w:rsidRPr="00913300">
        <w:rPr>
          <w:lang w:bidi="en-US"/>
        </w:rPr>
        <w:t xml:space="preserve"> energy transfer model did not give a good fit to the pressure dependence</w:t>
      </w:r>
      <w:r>
        <w:rPr>
          <w:lang w:bidi="en-US"/>
        </w:rPr>
        <w:t xml:space="preserve">. The </w:t>
      </w:r>
      <w:r w:rsidRPr="00913300">
        <w:rPr>
          <w:lang w:bidi="en-US"/>
        </w:rPr>
        <w:t>empir</w:t>
      </w:r>
      <w:r>
        <w:rPr>
          <w:lang w:bidi="en-US"/>
        </w:rPr>
        <w:t>ical</w:t>
      </w:r>
      <w:r w:rsidRPr="00913300">
        <w:rPr>
          <w:lang w:bidi="en-US"/>
        </w:rPr>
        <w:t xml:space="preserve"> expression cited above, together with </w:t>
      </w:r>
      <w:r>
        <w:rPr>
          <w:lang w:bidi="en-US"/>
        </w:rPr>
        <w:t>the</w:t>
      </w:r>
      <w:r w:rsidRPr="00913300">
        <w:rPr>
          <w:lang w:bidi="en-US"/>
        </w:rPr>
        <w:t xml:space="preserve"> value for the high</w:t>
      </w:r>
      <w:r>
        <w:rPr>
          <w:lang w:bidi="en-US"/>
        </w:rPr>
        <w:t>-</w:t>
      </w:r>
      <w:r w:rsidRPr="00913300">
        <w:rPr>
          <w:lang w:bidi="en-US"/>
        </w:rPr>
        <w:t>pressure limiting</w:t>
      </w:r>
      <w:r>
        <w:rPr>
          <w:lang w:bidi="en-US"/>
        </w:rPr>
        <w:t xml:space="preserve"> rate constant, </w:t>
      </w:r>
      <w:r w:rsidRPr="00613499">
        <w:rPr>
          <w:i/>
          <w:iCs/>
          <w:lang w:bidi="en-US"/>
        </w:rPr>
        <w:t>k</w:t>
      </w:r>
      <w:r w:rsidRPr="00613499">
        <w:rPr>
          <w:vertAlign w:val="subscript"/>
          <w:lang w:bidi="en-US"/>
        </w:rPr>
        <w:t>∞</w:t>
      </w:r>
      <w:r>
        <w:rPr>
          <w:lang w:bidi="en-US"/>
        </w:rPr>
        <w:t>, were reported.</w:t>
      </w:r>
    </w:p>
    <w:p w14:paraId="061218CA" w14:textId="77777777" w:rsidR="000A081F" w:rsidRPr="00583EB1" w:rsidRDefault="000A081F" w:rsidP="000A081F">
      <w:pPr>
        <w:numPr>
          <w:ilvl w:val="0"/>
          <w:numId w:val="3"/>
        </w:numPr>
        <w:tabs>
          <w:tab w:val="left" w:pos="-1440"/>
          <w:tab w:val="left" w:pos="-720"/>
        </w:tabs>
        <w:jc w:val="both"/>
      </w:pPr>
      <w:r w:rsidRPr="00913300">
        <w:rPr>
          <w:lang w:bidi="en-US"/>
        </w:rPr>
        <w:t>(CH</w:t>
      </w:r>
      <w:r w:rsidRPr="00583EB1">
        <w:rPr>
          <w:vertAlign w:val="subscript"/>
          <w:lang w:bidi="en-US"/>
        </w:rPr>
        <w:t>3</w:t>
      </w:r>
      <w:r w:rsidRPr="00913300">
        <w:rPr>
          <w:lang w:bidi="en-US"/>
        </w:rPr>
        <w:t>)</w:t>
      </w:r>
      <w:r w:rsidRPr="00583EB1">
        <w:rPr>
          <w:vertAlign w:val="subscript"/>
          <w:lang w:bidi="en-US"/>
        </w:rPr>
        <w:t>2</w:t>
      </w:r>
      <w:r w:rsidRPr="00913300">
        <w:rPr>
          <w:lang w:bidi="en-US"/>
        </w:rPr>
        <w:t>COO was generated from pulsed photolysis of a gaseous mixture consisting of (CH</w:t>
      </w:r>
      <w:r w:rsidRPr="00583EB1">
        <w:rPr>
          <w:vertAlign w:val="subscript"/>
          <w:lang w:bidi="en-US"/>
        </w:rPr>
        <w:t>3</w:t>
      </w:r>
      <w:r w:rsidRPr="00913300">
        <w:rPr>
          <w:lang w:bidi="en-US"/>
        </w:rPr>
        <w:t>)</w:t>
      </w:r>
      <w:r w:rsidRPr="00583EB1">
        <w:rPr>
          <w:vertAlign w:val="subscript"/>
          <w:lang w:bidi="en-US"/>
        </w:rPr>
        <w:t>2</w:t>
      </w:r>
      <w:r w:rsidRPr="00913300">
        <w:rPr>
          <w:lang w:bidi="en-US"/>
        </w:rPr>
        <w:t>CI</w:t>
      </w:r>
      <w:r w:rsidRPr="00583EB1">
        <w:rPr>
          <w:vertAlign w:val="subscript"/>
          <w:lang w:bidi="en-US"/>
        </w:rPr>
        <w:t>2</w:t>
      </w:r>
      <w:r w:rsidRPr="00913300">
        <w:rPr>
          <w:lang w:bidi="en-US"/>
        </w:rPr>
        <w:t>, O</w:t>
      </w:r>
      <w:r w:rsidRPr="00583EB1">
        <w:rPr>
          <w:vertAlign w:val="subscript"/>
          <w:lang w:bidi="en-US"/>
        </w:rPr>
        <w:t>2</w:t>
      </w:r>
      <w:r w:rsidRPr="00913300">
        <w:rPr>
          <w:lang w:bidi="en-US"/>
        </w:rPr>
        <w:t xml:space="preserve"> and buffer gas (N</w:t>
      </w:r>
      <w:r w:rsidRPr="00583EB1">
        <w:rPr>
          <w:vertAlign w:val="subscript"/>
          <w:lang w:bidi="en-US"/>
        </w:rPr>
        <w:t>2</w:t>
      </w:r>
      <w:r w:rsidRPr="00913300">
        <w:rPr>
          <w:lang w:bidi="en-US"/>
        </w:rPr>
        <w:t>) at 248 nm</w:t>
      </w:r>
      <w:r>
        <w:rPr>
          <w:lang w:bidi="en-US"/>
        </w:rPr>
        <w:t xml:space="preserve">. </w:t>
      </w:r>
      <w:r w:rsidRPr="00913300">
        <w:rPr>
          <w:lang w:bidi="en-US"/>
        </w:rPr>
        <w:t xml:space="preserve">Total pressure was </w:t>
      </w:r>
      <w:r>
        <w:rPr>
          <w:lang w:bidi="en-US"/>
        </w:rPr>
        <w:t>400</w:t>
      </w:r>
      <w:r w:rsidRPr="00913300">
        <w:rPr>
          <w:lang w:bidi="en-US"/>
        </w:rPr>
        <w:t xml:space="preserve"> mbar</w:t>
      </w:r>
      <w:r>
        <w:rPr>
          <w:lang w:bidi="en-US"/>
        </w:rPr>
        <w:t xml:space="preserve">, to ensure measurements of </w:t>
      </w:r>
      <w:r w:rsidRPr="00583EB1">
        <w:rPr>
          <w:i/>
          <w:iCs/>
          <w:lang w:bidi="en-US"/>
        </w:rPr>
        <w:t>k</w:t>
      </w:r>
      <w:r>
        <w:rPr>
          <w:lang w:bidi="en-US"/>
        </w:rPr>
        <w:t xml:space="preserve"> were at the </w:t>
      </w:r>
      <w:proofErr w:type="gramStart"/>
      <w:r>
        <w:rPr>
          <w:lang w:bidi="en-US"/>
        </w:rPr>
        <w:t>high pressure</w:t>
      </w:r>
      <w:proofErr w:type="gramEnd"/>
      <w:r>
        <w:rPr>
          <w:lang w:bidi="en-US"/>
        </w:rPr>
        <w:t xml:space="preserve"> limit (i.e. </w:t>
      </w:r>
      <w:r w:rsidRPr="00583EB1">
        <w:rPr>
          <w:i/>
          <w:iCs/>
          <w:lang w:bidi="en-US"/>
        </w:rPr>
        <w:t>k</w:t>
      </w:r>
      <w:r w:rsidRPr="00583EB1">
        <w:rPr>
          <w:vertAlign w:val="subscript"/>
          <w:lang w:bidi="en-US"/>
        </w:rPr>
        <w:t>∞</w:t>
      </w:r>
      <w:r>
        <w:rPr>
          <w:lang w:bidi="en-US"/>
        </w:rPr>
        <w:t>)</w:t>
      </w:r>
      <w:r w:rsidRPr="00913300">
        <w:rPr>
          <w:lang w:bidi="en-US"/>
        </w:rPr>
        <w:t>. (CH</w:t>
      </w:r>
      <w:r w:rsidRPr="00583EB1">
        <w:rPr>
          <w:vertAlign w:val="subscript"/>
          <w:lang w:bidi="en-US"/>
        </w:rPr>
        <w:t>3</w:t>
      </w:r>
      <w:r w:rsidRPr="00913300">
        <w:rPr>
          <w:lang w:bidi="en-US"/>
        </w:rPr>
        <w:t>)</w:t>
      </w:r>
      <w:r w:rsidRPr="00583EB1">
        <w:rPr>
          <w:vertAlign w:val="subscript"/>
          <w:lang w:bidi="en-US"/>
        </w:rPr>
        <w:t>2</w:t>
      </w:r>
      <w:r w:rsidRPr="00913300">
        <w:rPr>
          <w:lang w:bidi="en-US"/>
        </w:rPr>
        <w:t>COO was monitored by time-resolved UV absorption at 340 nm, due to the B̃ (1A′) ← X̃(1A′) electronic transition. The amount of (CH</w:t>
      </w:r>
      <w:r w:rsidRPr="00583EB1">
        <w:rPr>
          <w:vertAlign w:val="subscript"/>
          <w:lang w:bidi="en-US"/>
        </w:rPr>
        <w:t>3</w:t>
      </w:r>
      <w:r w:rsidRPr="00913300">
        <w:rPr>
          <w:lang w:bidi="en-US"/>
        </w:rPr>
        <w:t>)</w:t>
      </w:r>
      <w:r w:rsidRPr="00583EB1">
        <w:rPr>
          <w:vertAlign w:val="subscript"/>
          <w:lang w:bidi="en-US"/>
        </w:rPr>
        <w:t>2</w:t>
      </w:r>
      <w:r w:rsidRPr="00913300">
        <w:rPr>
          <w:lang w:bidi="en-US"/>
        </w:rPr>
        <w:t>COO formed was estimated using a cross-section</w:t>
      </w:r>
      <w:r>
        <w:rPr>
          <w:lang w:bidi="en-US"/>
        </w:rPr>
        <w:t>,</w:t>
      </w:r>
      <w:r w:rsidRPr="00913300">
        <w:rPr>
          <w:lang w:bidi="en-US"/>
        </w:rPr>
        <w:t xml:space="preserve"> </w:t>
      </w:r>
      <w:r w:rsidRPr="00583EB1">
        <w:rPr>
          <w:rFonts w:ascii="Symbol" w:hAnsi="Symbol"/>
          <w:lang w:bidi="en-US"/>
        </w:rPr>
        <w:t></w:t>
      </w:r>
      <w:r>
        <w:rPr>
          <w:lang w:bidi="en-US"/>
        </w:rPr>
        <w:t xml:space="preserve"> </w:t>
      </w:r>
      <w:r w:rsidRPr="00913300">
        <w:rPr>
          <w:lang w:bidi="en-US"/>
        </w:rPr>
        <w:t xml:space="preserve">= 1.6 </w:t>
      </w:r>
      <w:r>
        <w:rPr>
          <w:lang w:bidi="en-US"/>
        </w:rPr>
        <w:t>×</w:t>
      </w:r>
      <w:r w:rsidRPr="00913300">
        <w:rPr>
          <w:lang w:bidi="en-US"/>
        </w:rPr>
        <w:t xml:space="preserve"> 10</w:t>
      </w:r>
      <w:r w:rsidRPr="00583EB1">
        <w:rPr>
          <w:vertAlign w:val="superscript"/>
          <w:lang w:bidi="en-US"/>
        </w:rPr>
        <w:t>−17</w:t>
      </w:r>
      <w:r w:rsidRPr="00913300">
        <w:rPr>
          <w:lang w:bidi="en-US"/>
        </w:rPr>
        <w:t xml:space="preserve"> cm</w:t>
      </w:r>
      <w:r w:rsidRPr="00583EB1">
        <w:rPr>
          <w:vertAlign w:val="superscript"/>
          <w:lang w:bidi="en-US"/>
        </w:rPr>
        <w:t>2</w:t>
      </w:r>
      <w:r w:rsidRPr="00913300">
        <w:rPr>
          <w:lang w:bidi="en-US"/>
        </w:rPr>
        <w:t xml:space="preserve"> at 340 nm.  Kinetic decays were recorded in the presence of different [SO</w:t>
      </w:r>
      <w:r w:rsidRPr="00583EB1">
        <w:rPr>
          <w:vertAlign w:val="subscript"/>
          <w:lang w:bidi="en-US"/>
        </w:rPr>
        <w:t>2</w:t>
      </w:r>
      <w:r w:rsidRPr="00913300">
        <w:rPr>
          <w:lang w:bidi="en-US"/>
        </w:rPr>
        <w:t xml:space="preserve">], in the temperature range 283-303 K. The decay kinetics </w:t>
      </w:r>
      <w:r>
        <w:rPr>
          <w:lang w:bidi="en-US"/>
        </w:rPr>
        <w:t>were</w:t>
      </w:r>
      <w:r w:rsidRPr="00913300">
        <w:rPr>
          <w:lang w:bidi="en-US"/>
        </w:rPr>
        <w:t xml:space="preserve"> pseudo-first order</w:t>
      </w:r>
      <w:r>
        <w:rPr>
          <w:lang w:bidi="en-US"/>
        </w:rPr>
        <w:t>,</w:t>
      </w:r>
      <w:r w:rsidRPr="00913300">
        <w:rPr>
          <w:lang w:bidi="en-US"/>
        </w:rPr>
        <w:t xml:space="preserve"> and </w:t>
      </w:r>
      <w:r>
        <w:rPr>
          <w:lang w:bidi="en-US"/>
        </w:rPr>
        <w:t xml:space="preserve">values of </w:t>
      </w:r>
      <w:r w:rsidRPr="00583EB1">
        <w:rPr>
          <w:i/>
          <w:iCs/>
          <w:lang w:bidi="en-US"/>
        </w:rPr>
        <w:t>k</w:t>
      </w:r>
      <w:r w:rsidRPr="00583EB1">
        <w:rPr>
          <w:vertAlign w:val="subscript"/>
          <w:lang w:bidi="en-US"/>
        </w:rPr>
        <w:t>∞</w:t>
      </w:r>
      <w:r w:rsidRPr="00913300">
        <w:rPr>
          <w:lang w:bidi="en-US"/>
        </w:rPr>
        <w:t xml:space="preserve"> were determined </w:t>
      </w:r>
      <w:r>
        <w:rPr>
          <w:lang w:bidi="en-US"/>
        </w:rPr>
        <w:t>from the variation of the first-order decay constants with</w:t>
      </w:r>
      <w:r w:rsidRPr="00913300">
        <w:rPr>
          <w:lang w:bidi="en-US"/>
        </w:rPr>
        <w:t xml:space="preserve"> [SO</w:t>
      </w:r>
      <w:r w:rsidRPr="00583EB1">
        <w:rPr>
          <w:vertAlign w:val="subscript"/>
          <w:lang w:bidi="en-US"/>
        </w:rPr>
        <w:t>2</w:t>
      </w:r>
      <w:r w:rsidRPr="00913300">
        <w:rPr>
          <w:lang w:bidi="en-US"/>
        </w:rPr>
        <w:t>]. The value</w:t>
      </w:r>
      <w:r>
        <w:rPr>
          <w:lang w:bidi="en-US"/>
        </w:rPr>
        <w:t xml:space="preserve"> of </w:t>
      </w:r>
      <w:r w:rsidRPr="00583EB1">
        <w:rPr>
          <w:i/>
          <w:iCs/>
          <w:lang w:bidi="en-US"/>
        </w:rPr>
        <w:t>k</w:t>
      </w:r>
      <w:r w:rsidRPr="00583EB1">
        <w:rPr>
          <w:vertAlign w:val="subscript"/>
          <w:lang w:bidi="en-US"/>
        </w:rPr>
        <w:t>∞</w:t>
      </w:r>
      <w:r>
        <w:rPr>
          <w:lang w:bidi="en-US"/>
        </w:rPr>
        <w:t xml:space="preserve"> </w:t>
      </w:r>
      <w:r w:rsidRPr="00913300">
        <w:rPr>
          <w:lang w:bidi="en-US"/>
        </w:rPr>
        <w:t>exhibited a negative temperature dependence, (</w:t>
      </w:r>
      <w:r w:rsidRPr="00583EB1">
        <w:rPr>
          <w:i/>
          <w:iCs/>
          <w:lang w:bidi="en-US"/>
        </w:rPr>
        <w:t>E</w:t>
      </w:r>
      <w:r w:rsidRPr="00913300">
        <w:rPr>
          <w:lang w:bidi="en-US"/>
        </w:rPr>
        <w:t>/</w:t>
      </w:r>
      <w:r w:rsidRPr="00583EB1">
        <w:rPr>
          <w:i/>
          <w:iCs/>
          <w:lang w:bidi="en-US"/>
        </w:rPr>
        <w:t>R</w:t>
      </w:r>
      <w:r>
        <w:rPr>
          <w:i/>
          <w:iCs/>
          <w:lang w:bidi="en-US"/>
        </w:rPr>
        <w:t xml:space="preserve"> = </w:t>
      </w:r>
      <w:r>
        <w:rPr>
          <w:lang w:bidi="en-US"/>
        </w:rPr>
        <w:t>-1760</w:t>
      </w:r>
      <w:r w:rsidRPr="00913300">
        <w:rPr>
          <w:lang w:bidi="en-US"/>
        </w:rPr>
        <w:t xml:space="preserve"> K).</w:t>
      </w:r>
    </w:p>
    <w:p w14:paraId="16214E1C" w14:textId="7F4D9E6C" w:rsidR="00467310" w:rsidRPr="00D50BCE" w:rsidRDefault="000A081F" w:rsidP="000A081F">
      <w:pPr>
        <w:numPr>
          <w:ilvl w:val="0"/>
          <w:numId w:val="3"/>
        </w:numPr>
        <w:tabs>
          <w:tab w:val="left" w:pos="-1440"/>
          <w:tab w:val="left" w:pos="-720"/>
        </w:tabs>
        <w:jc w:val="both"/>
        <w:rPr>
          <w:color w:val="auto"/>
        </w:rPr>
      </w:pPr>
      <w:r w:rsidRPr="00913300">
        <w:rPr>
          <w:lang w:bidi="en-US"/>
        </w:rPr>
        <w:t>(CH</w:t>
      </w:r>
      <w:r w:rsidRPr="00D50BCE">
        <w:rPr>
          <w:vertAlign w:val="subscript"/>
          <w:lang w:bidi="en-US"/>
        </w:rPr>
        <w:t>3</w:t>
      </w:r>
      <w:r w:rsidRPr="00913300">
        <w:rPr>
          <w:lang w:bidi="en-US"/>
        </w:rPr>
        <w:t>)</w:t>
      </w:r>
      <w:r w:rsidRPr="00D50BCE">
        <w:rPr>
          <w:vertAlign w:val="subscript"/>
          <w:lang w:bidi="en-US"/>
        </w:rPr>
        <w:t>2</w:t>
      </w:r>
      <w:r w:rsidRPr="00913300">
        <w:rPr>
          <w:lang w:bidi="en-US"/>
        </w:rPr>
        <w:t>COO</w:t>
      </w:r>
      <w:r>
        <w:rPr>
          <w:lang w:bidi="en-US"/>
        </w:rPr>
        <w:t xml:space="preserve"> was</w:t>
      </w:r>
      <w:r w:rsidRPr="00913300">
        <w:rPr>
          <w:lang w:bidi="en-US"/>
        </w:rPr>
        <w:t xml:space="preserve"> formed by laser photolysis of (CH</w:t>
      </w:r>
      <w:r w:rsidRPr="00913300">
        <w:rPr>
          <w:vertAlign w:val="subscript"/>
          <w:lang w:bidi="en-US"/>
        </w:rPr>
        <w:t>3</w:t>
      </w:r>
      <w:r w:rsidRPr="00913300">
        <w:rPr>
          <w:lang w:bidi="en-US"/>
        </w:rPr>
        <w:t>)</w:t>
      </w:r>
      <w:r w:rsidRPr="00913300">
        <w:rPr>
          <w:vertAlign w:val="subscript"/>
          <w:lang w:bidi="en-US"/>
        </w:rPr>
        <w:t>2</w:t>
      </w:r>
      <w:r w:rsidRPr="00913300">
        <w:rPr>
          <w:lang w:bidi="en-US"/>
        </w:rPr>
        <w:t>CI</w:t>
      </w:r>
      <w:r w:rsidRPr="00913300">
        <w:rPr>
          <w:vertAlign w:val="subscript"/>
          <w:lang w:bidi="en-US"/>
        </w:rPr>
        <w:t>2</w:t>
      </w:r>
      <w:r w:rsidRPr="00913300">
        <w:rPr>
          <w:lang w:bidi="en-US"/>
        </w:rPr>
        <w:t xml:space="preserve"> in the presence of O</w:t>
      </w:r>
      <w:r w:rsidRPr="00D50BCE">
        <w:rPr>
          <w:vertAlign w:val="subscript"/>
          <w:lang w:bidi="en-US"/>
        </w:rPr>
        <w:t>2</w:t>
      </w:r>
      <w:r>
        <w:rPr>
          <w:lang w:bidi="en-US"/>
        </w:rPr>
        <w:t xml:space="preserve">, </w:t>
      </w:r>
      <w:r w:rsidRPr="00913300">
        <w:rPr>
          <w:lang w:bidi="en-US"/>
        </w:rPr>
        <w:t>and characterized by synchrotron photoionization mass spectrometry</w:t>
      </w:r>
      <w:r>
        <w:rPr>
          <w:lang w:bidi="en-US"/>
        </w:rPr>
        <w:t xml:space="preserve"> (PIMS)</w:t>
      </w:r>
      <w:r w:rsidRPr="00913300">
        <w:rPr>
          <w:lang w:bidi="en-US"/>
        </w:rPr>
        <w:t xml:space="preserve"> and ultraviolet absorption cavity ringdown</w:t>
      </w:r>
      <w:r>
        <w:rPr>
          <w:lang w:bidi="en-US"/>
        </w:rPr>
        <w:t xml:space="preserve"> </w:t>
      </w:r>
      <w:r w:rsidRPr="00913300">
        <w:rPr>
          <w:lang w:bidi="en-US"/>
        </w:rPr>
        <w:t>spectrometry</w:t>
      </w:r>
      <w:r>
        <w:rPr>
          <w:lang w:bidi="en-US"/>
        </w:rPr>
        <w:t xml:space="preserve"> (CRDS)</w:t>
      </w:r>
      <w:r w:rsidRPr="00913300">
        <w:rPr>
          <w:lang w:bidi="en-US"/>
        </w:rPr>
        <w:t>.</w:t>
      </w:r>
      <w:r>
        <w:rPr>
          <w:lang w:bidi="en-US"/>
        </w:rPr>
        <w:t xml:space="preserve"> The cited measurements of</w:t>
      </w:r>
      <w:r w:rsidRPr="00913300">
        <w:rPr>
          <w:lang w:bidi="en-US"/>
        </w:rPr>
        <w:t xml:space="preserve"> </w:t>
      </w:r>
      <w:r w:rsidRPr="00D50BCE">
        <w:rPr>
          <w:i/>
          <w:iCs/>
          <w:lang w:bidi="en-US"/>
        </w:rPr>
        <w:t>k</w:t>
      </w:r>
      <w:r w:rsidRPr="00913300">
        <w:rPr>
          <w:lang w:bidi="en-US"/>
        </w:rPr>
        <w:t xml:space="preserve"> </w:t>
      </w:r>
      <w:r>
        <w:rPr>
          <w:lang w:bidi="en-US"/>
        </w:rPr>
        <w:t>were obtained under</w:t>
      </w:r>
      <w:r w:rsidRPr="00913300">
        <w:rPr>
          <w:lang w:bidi="en-US"/>
        </w:rPr>
        <w:t xml:space="preserve"> pseudo-first order </w:t>
      </w:r>
      <w:r>
        <w:rPr>
          <w:lang w:bidi="en-US"/>
        </w:rPr>
        <w:t>conditions</w:t>
      </w:r>
      <w:r w:rsidRPr="00913300">
        <w:rPr>
          <w:lang w:bidi="en-US"/>
        </w:rPr>
        <w:t xml:space="preserve"> in </w:t>
      </w:r>
      <w:proofErr w:type="spellStart"/>
      <w:r w:rsidRPr="00913300">
        <w:rPr>
          <w:lang w:bidi="en-US"/>
        </w:rPr>
        <w:t>He</w:t>
      </w:r>
      <w:proofErr w:type="spellEnd"/>
      <w:r w:rsidRPr="00913300">
        <w:rPr>
          <w:lang w:bidi="en-US"/>
        </w:rPr>
        <w:t xml:space="preserve"> buffer gas</w:t>
      </w:r>
      <w:r>
        <w:rPr>
          <w:lang w:bidi="en-US"/>
        </w:rPr>
        <w:t>,</w:t>
      </w:r>
      <w:r w:rsidRPr="00913300">
        <w:rPr>
          <w:lang w:bidi="en-US"/>
        </w:rPr>
        <w:t xml:space="preserve"> using </w:t>
      </w:r>
      <w:r>
        <w:rPr>
          <w:lang w:bidi="en-US"/>
        </w:rPr>
        <w:t>PIMS</w:t>
      </w:r>
      <w:r w:rsidRPr="00913300">
        <w:rPr>
          <w:lang w:bidi="en-US"/>
        </w:rPr>
        <w:t xml:space="preserve">. </w:t>
      </w:r>
      <w:r>
        <w:rPr>
          <w:lang w:bidi="en-US"/>
        </w:rPr>
        <w:t xml:space="preserve">Additional measurements at 293 K and a series of </w:t>
      </w:r>
      <w:r w:rsidRPr="00913300">
        <w:rPr>
          <w:lang w:bidi="en-US"/>
        </w:rPr>
        <w:t xml:space="preserve">higher </w:t>
      </w:r>
      <w:r w:rsidRPr="00913300">
        <w:rPr>
          <w:lang w:bidi="en-US"/>
        </w:rPr>
        <w:lastRenderedPageBreak/>
        <w:t>pressures (</w:t>
      </w:r>
      <w:r>
        <w:rPr>
          <w:lang w:bidi="en-US"/>
        </w:rPr>
        <w:t xml:space="preserve">between </w:t>
      </w:r>
      <w:r w:rsidRPr="00913300">
        <w:rPr>
          <w:lang w:bidi="en-US"/>
        </w:rPr>
        <w:t>1</w:t>
      </w:r>
      <w:r>
        <w:rPr>
          <w:lang w:bidi="en-US"/>
        </w:rPr>
        <w:t>3</w:t>
      </w:r>
      <w:r w:rsidRPr="00913300">
        <w:rPr>
          <w:lang w:bidi="en-US"/>
        </w:rPr>
        <w:t xml:space="preserve"> </w:t>
      </w:r>
      <w:r>
        <w:rPr>
          <w:lang w:bidi="en-US"/>
        </w:rPr>
        <w:t>mbar</w:t>
      </w:r>
      <w:r w:rsidRPr="00913300">
        <w:rPr>
          <w:lang w:bidi="en-US"/>
        </w:rPr>
        <w:t xml:space="preserve"> </w:t>
      </w:r>
      <w:r>
        <w:rPr>
          <w:lang w:bidi="en-US"/>
        </w:rPr>
        <w:t>and</w:t>
      </w:r>
      <w:r w:rsidRPr="00913300">
        <w:rPr>
          <w:lang w:bidi="en-US"/>
        </w:rPr>
        <w:t xml:space="preserve"> 1</w:t>
      </w:r>
      <w:r>
        <w:rPr>
          <w:lang w:bidi="en-US"/>
        </w:rPr>
        <w:t>33</w:t>
      </w:r>
      <w:r w:rsidRPr="00913300">
        <w:rPr>
          <w:lang w:bidi="en-US"/>
        </w:rPr>
        <w:t xml:space="preserve"> </w:t>
      </w:r>
      <w:r>
        <w:rPr>
          <w:lang w:bidi="en-US"/>
        </w:rPr>
        <w:t>mbar</w:t>
      </w:r>
      <w:r w:rsidRPr="00913300">
        <w:rPr>
          <w:lang w:bidi="en-US"/>
        </w:rPr>
        <w:t xml:space="preserve"> in N</w:t>
      </w:r>
      <w:r w:rsidRPr="00D50BCE">
        <w:rPr>
          <w:vertAlign w:val="subscript"/>
          <w:lang w:bidi="en-US"/>
        </w:rPr>
        <w:t>2</w:t>
      </w:r>
      <w:r w:rsidRPr="00913300">
        <w:rPr>
          <w:lang w:bidi="en-US"/>
        </w:rPr>
        <w:t xml:space="preserve">) </w:t>
      </w:r>
      <w:r>
        <w:rPr>
          <w:lang w:bidi="en-US"/>
        </w:rPr>
        <w:t xml:space="preserve">using CRDS </w:t>
      </w:r>
      <w:r w:rsidRPr="00913300">
        <w:rPr>
          <w:lang w:bidi="en-US"/>
        </w:rPr>
        <w:t>yielded larger rate coefficients, in the range (1.84</w:t>
      </w:r>
      <w:r>
        <w:rPr>
          <w:lang w:bidi="en-US"/>
        </w:rPr>
        <w:t xml:space="preserve"> ± </w:t>
      </w:r>
      <w:r w:rsidRPr="00913300">
        <w:rPr>
          <w:lang w:bidi="en-US"/>
        </w:rPr>
        <w:t>0.12) × 10</w:t>
      </w:r>
      <w:r w:rsidRPr="00D50BCE">
        <w:rPr>
          <w:vertAlign w:val="superscript"/>
          <w:lang w:bidi="en-US"/>
        </w:rPr>
        <w:t>-10</w:t>
      </w:r>
      <w:r w:rsidRPr="00913300">
        <w:rPr>
          <w:lang w:bidi="en-US"/>
        </w:rPr>
        <w:t xml:space="preserve"> to (2.29 ± 0.08) × 10</w:t>
      </w:r>
      <w:r w:rsidRPr="00D50BCE">
        <w:rPr>
          <w:vertAlign w:val="superscript"/>
          <w:lang w:bidi="en-US"/>
        </w:rPr>
        <w:t>-10</w:t>
      </w:r>
      <w:r w:rsidRPr="00913300">
        <w:rPr>
          <w:lang w:bidi="en-US"/>
        </w:rPr>
        <w:t xml:space="preserve"> cm</w:t>
      </w:r>
      <w:r w:rsidRPr="00D50BCE">
        <w:rPr>
          <w:vertAlign w:val="superscript"/>
          <w:lang w:bidi="en-US"/>
        </w:rPr>
        <w:t>3</w:t>
      </w:r>
      <w:r>
        <w:rPr>
          <w:lang w:bidi="en-US"/>
        </w:rPr>
        <w:t xml:space="preserve"> molecule</w:t>
      </w:r>
      <w:r w:rsidRPr="00D50BCE">
        <w:rPr>
          <w:vertAlign w:val="superscript"/>
          <w:lang w:bidi="en-US"/>
        </w:rPr>
        <w:t>-1</w:t>
      </w:r>
      <w:r>
        <w:rPr>
          <w:lang w:bidi="en-US"/>
        </w:rPr>
        <w:t xml:space="preserve"> s</w:t>
      </w:r>
      <w:r w:rsidRPr="00D50BCE">
        <w:rPr>
          <w:vertAlign w:val="superscript"/>
          <w:lang w:bidi="en-US"/>
        </w:rPr>
        <w:t>-1</w:t>
      </w:r>
      <w:r w:rsidRPr="00913300">
        <w:rPr>
          <w:lang w:bidi="en-US"/>
        </w:rPr>
        <w:t>.</w:t>
      </w:r>
      <w:r>
        <w:rPr>
          <w:lang w:bidi="en-US"/>
        </w:rPr>
        <w:t xml:space="preserve"> The tabulated </w:t>
      </w:r>
      <w:r w:rsidRPr="004A38CD">
        <w:rPr>
          <w:lang w:bidi="en-US"/>
        </w:rPr>
        <w:t>limit</w:t>
      </w:r>
      <w:r>
        <w:rPr>
          <w:lang w:bidi="en-US"/>
        </w:rPr>
        <w:t xml:space="preserve">ing value at </w:t>
      </w:r>
      <w:r w:rsidRPr="004A38CD">
        <w:rPr>
          <w:lang w:bidi="en-US"/>
        </w:rPr>
        <w:t>high pressure</w:t>
      </w:r>
      <w:r>
        <w:rPr>
          <w:lang w:bidi="en-US"/>
        </w:rPr>
        <w:t xml:space="preserve"> (</w:t>
      </w:r>
      <w:r w:rsidRPr="00D50BCE">
        <w:rPr>
          <w:i/>
          <w:iCs/>
          <w:lang w:bidi="en-US"/>
        </w:rPr>
        <w:t>k</w:t>
      </w:r>
      <w:r w:rsidRPr="00D50BCE">
        <w:rPr>
          <w:vertAlign w:val="subscript"/>
          <w:lang w:bidi="en-US"/>
        </w:rPr>
        <w:t>∞</w:t>
      </w:r>
      <w:r>
        <w:rPr>
          <w:lang w:bidi="en-US"/>
        </w:rPr>
        <w:t>) was reported, based on the measurements between 67 and 133 mbar N</w:t>
      </w:r>
      <w:r w:rsidRPr="00D50BCE">
        <w:rPr>
          <w:vertAlign w:val="subscript"/>
          <w:lang w:bidi="en-US"/>
        </w:rPr>
        <w:t>2</w:t>
      </w:r>
      <w:r>
        <w:rPr>
          <w:lang w:bidi="en-US"/>
        </w:rPr>
        <w:t xml:space="preserve">. The </w:t>
      </w:r>
      <w:r w:rsidRPr="00913300">
        <w:rPr>
          <w:lang w:bidi="en-US"/>
        </w:rPr>
        <w:t>reaction</w:t>
      </w:r>
      <w:r>
        <w:rPr>
          <w:lang w:bidi="en-US"/>
        </w:rPr>
        <w:t xml:space="preserve"> of</w:t>
      </w:r>
      <w:r w:rsidRPr="00913300">
        <w:rPr>
          <w:lang w:bidi="en-US"/>
        </w:rPr>
        <w:t xml:space="preserve"> (CD</w:t>
      </w:r>
      <w:r w:rsidRPr="00913300">
        <w:rPr>
          <w:vertAlign w:val="subscript"/>
          <w:lang w:bidi="en-US"/>
        </w:rPr>
        <w:t>3</w:t>
      </w:r>
      <w:r w:rsidRPr="00913300">
        <w:rPr>
          <w:lang w:bidi="en-US"/>
        </w:rPr>
        <w:t>)</w:t>
      </w:r>
      <w:r w:rsidRPr="00913300">
        <w:rPr>
          <w:vertAlign w:val="subscript"/>
          <w:lang w:bidi="en-US"/>
        </w:rPr>
        <w:t>2</w:t>
      </w:r>
      <w:r w:rsidRPr="00913300">
        <w:rPr>
          <w:lang w:bidi="en-US"/>
        </w:rPr>
        <w:t>COO</w:t>
      </w:r>
      <w:r>
        <w:rPr>
          <w:lang w:bidi="en-US"/>
        </w:rPr>
        <w:t xml:space="preserve"> with</w:t>
      </w:r>
      <w:r w:rsidRPr="00913300">
        <w:rPr>
          <w:lang w:bidi="en-US"/>
        </w:rPr>
        <w:t xml:space="preserve"> SO</w:t>
      </w:r>
      <w:r w:rsidRPr="00913300">
        <w:rPr>
          <w:vertAlign w:val="subscript"/>
          <w:lang w:bidi="en-US"/>
        </w:rPr>
        <w:t>2</w:t>
      </w:r>
      <w:r w:rsidRPr="00913300">
        <w:rPr>
          <w:lang w:bidi="en-US"/>
        </w:rPr>
        <w:t xml:space="preserve"> </w:t>
      </w:r>
      <w:r>
        <w:rPr>
          <w:lang w:bidi="en-US"/>
        </w:rPr>
        <w:t xml:space="preserve">was also studied </w:t>
      </w:r>
      <w:r w:rsidRPr="00913300">
        <w:rPr>
          <w:lang w:bidi="en-US"/>
        </w:rPr>
        <w:t>at 4 Torr using PIMS</w:t>
      </w:r>
      <w:r>
        <w:rPr>
          <w:lang w:bidi="en-US"/>
        </w:rPr>
        <w:t>. The results showed</w:t>
      </w:r>
      <w:r w:rsidRPr="00913300">
        <w:rPr>
          <w:lang w:bidi="en-US"/>
        </w:rPr>
        <w:t xml:space="preserve"> an inverse kinetic isotope effect with the deuterated rate coefficient, (1.37 ± 0.12) × 10</w:t>
      </w:r>
      <w:r w:rsidRPr="00913300">
        <w:rPr>
          <w:vertAlign w:val="superscript"/>
          <w:lang w:bidi="en-US"/>
        </w:rPr>
        <w:t>−10</w:t>
      </w:r>
      <w:r w:rsidRPr="00913300">
        <w:rPr>
          <w:lang w:bidi="en-US"/>
        </w:rPr>
        <w:t xml:space="preserve"> cm</w:t>
      </w:r>
      <w:r w:rsidRPr="00913300">
        <w:rPr>
          <w:vertAlign w:val="superscript"/>
          <w:lang w:bidi="en-US"/>
        </w:rPr>
        <w:t>3</w:t>
      </w:r>
      <w:r w:rsidRPr="00913300">
        <w:rPr>
          <w:lang w:bidi="en-US"/>
        </w:rPr>
        <w:t xml:space="preserve"> </w:t>
      </w:r>
      <w:r>
        <w:rPr>
          <w:lang w:bidi="en-US"/>
        </w:rPr>
        <w:t>molecule</w:t>
      </w:r>
      <w:r w:rsidRPr="00D50BCE">
        <w:rPr>
          <w:vertAlign w:val="superscript"/>
          <w:lang w:bidi="en-US"/>
        </w:rPr>
        <w:t>-1</w:t>
      </w:r>
      <w:r>
        <w:rPr>
          <w:lang w:bidi="en-US"/>
        </w:rPr>
        <w:t xml:space="preserve"> </w:t>
      </w:r>
      <w:r w:rsidRPr="00913300">
        <w:rPr>
          <w:lang w:bidi="en-US"/>
        </w:rPr>
        <w:t>s</w:t>
      </w:r>
      <w:r w:rsidRPr="00913300">
        <w:rPr>
          <w:vertAlign w:val="superscript"/>
          <w:lang w:bidi="en-US"/>
        </w:rPr>
        <w:t>−1</w:t>
      </w:r>
      <w:r w:rsidRPr="00913300">
        <w:rPr>
          <w:lang w:bidi="en-US"/>
        </w:rPr>
        <w:t>, approximately twice th</w:t>
      </w:r>
      <w:r>
        <w:rPr>
          <w:lang w:bidi="en-US"/>
        </w:rPr>
        <w:t>at</w:t>
      </w:r>
      <w:r w:rsidRPr="00913300">
        <w:rPr>
          <w:lang w:bidi="en-US"/>
        </w:rPr>
        <w:t xml:space="preserve"> for the un-deuterated reaction. </w:t>
      </w:r>
      <w:r>
        <w:rPr>
          <w:lang w:bidi="en-US"/>
        </w:rPr>
        <w:t>It was suggested that t</w:t>
      </w:r>
      <w:r w:rsidRPr="00913300">
        <w:rPr>
          <w:lang w:bidi="en-US"/>
        </w:rPr>
        <w:t>his could reflect more effective collisional stabilization of the deuterated association complex because of the increased density of vibrational states.</w:t>
      </w:r>
    </w:p>
    <w:p w14:paraId="16BE3EA6" w14:textId="77777777" w:rsidR="001E3362" w:rsidRDefault="001E3362" w:rsidP="001E3362">
      <w:pPr>
        <w:tabs>
          <w:tab w:val="left" w:pos="-1440"/>
          <w:tab w:val="left" w:pos="-720"/>
        </w:tabs>
        <w:ind w:left="360"/>
        <w:jc w:val="both"/>
      </w:pPr>
    </w:p>
    <w:p w14:paraId="1B761BCE" w14:textId="77777777" w:rsidR="00ED24D0" w:rsidRPr="001D3940" w:rsidRDefault="00ED24D0" w:rsidP="00ED24D0">
      <w:pPr>
        <w:pStyle w:val="Heading5"/>
        <w:tabs>
          <w:tab w:val="clear" w:pos="4867"/>
          <w:tab w:val="clear" w:pos="7982"/>
          <w:tab w:val="clear" w:pos="8395"/>
          <w:tab w:val="clear" w:pos="8812"/>
        </w:tabs>
        <w:rPr>
          <w:color w:val="auto"/>
        </w:rPr>
      </w:pPr>
      <w:r w:rsidRPr="001D3940">
        <w:rPr>
          <w:color w:val="auto"/>
        </w:rPr>
        <w:t>Preferred Values</w:t>
      </w:r>
    </w:p>
    <w:p w14:paraId="1D157BD7"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98"/>
        <w:gridCol w:w="3332"/>
        <w:gridCol w:w="1992"/>
      </w:tblGrid>
      <w:tr w:rsidR="00ED24D0" w:rsidRPr="001D3940" w14:paraId="7559C1A2" w14:textId="77777777" w:rsidTr="00B071AB">
        <w:tc>
          <w:tcPr>
            <w:tcW w:w="3198" w:type="dxa"/>
            <w:tcBorders>
              <w:top w:val="single" w:sz="4" w:space="0" w:color="000000"/>
              <w:bottom w:val="single" w:sz="4" w:space="0" w:color="000000"/>
            </w:tcBorders>
            <w:shd w:val="clear" w:color="auto" w:fill="auto"/>
          </w:tcPr>
          <w:p w14:paraId="5C3C9DF4"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332" w:type="dxa"/>
            <w:tcBorders>
              <w:top w:val="single" w:sz="4" w:space="0" w:color="000000"/>
              <w:bottom w:val="single" w:sz="4" w:space="0" w:color="000000"/>
            </w:tcBorders>
            <w:shd w:val="clear" w:color="auto" w:fill="auto"/>
          </w:tcPr>
          <w:p w14:paraId="1C8471FC"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201589F2"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77DE3C2A" w14:textId="77777777" w:rsidTr="00B071AB">
        <w:tc>
          <w:tcPr>
            <w:tcW w:w="3198" w:type="dxa"/>
            <w:tcBorders>
              <w:top w:val="single" w:sz="4" w:space="0" w:color="000000"/>
            </w:tcBorders>
            <w:shd w:val="clear" w:color="auto" w:fill="auto"/>
          </w:tcPr>
          <w:p w14:paraId="0F6650F3"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332" w:type="dxa"/>
            <w:tcBorders>
              <w:top w:val="single" w:sz="4" w:space="0" w:color="000000"/>
            </w:tcBorders>
            <w:shd w:val="clear" w:color="auto" w:fill="auto"/>
          </w:tcPr>
          <w:p w14:paraId="633C3FBC"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1965F7C0"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3699752A" w14:textId="77777777" w:rsidTr="00B071AB">
        <w:tc>
          <w:tcPr>
            <w:tcW w:w="3198" w:type="dxa"/>
            <w:shd w:val="clear" w:color="auto" w:fill="auto"/>
          </w:tcPr>
          <w:p w14:paraId="23B71909" w14:textId="77777777" w:rsidR="00ED24D0" w:rsidRPr="00DC5F36" w:rsidRDefault="00ED24D0"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00F920DF" w:rsidRPr="00F920DF">
              <w:rPr>
                <w:i/>
                <w:color w:val="auto"/>
                <w:spacing w:val="-3"/>
                <w:szCs w:val="24"/>
                <w:vertAlign w:val="subscript"/>
              </w:rPr>
              <w:t>∞</w:t>
            </w:r>
            <w:r w:rsidRPr="001D3940">
              <w:rPr>
                <w:color w:val="auto"/>
                <w:spacing w:val="-3"/>
                <w:szCs w:val="24"/>
              </w:rPr>
              <w:t xml:space="preserve">/ </w:t>
            </w:r>
            <w:r w:rsidR="00FD4F17">
              <w:rPr>
                <w:color w:val="auto"/>
                <w:spacing w:val="-3"/>
                <w:szCs w:val="24"/>
              </w:rPr>
              <w:t>cm</w:t>
            </w:r>
            <w:r w:rsidR="00FD4F17" w:rsidRPr="00FD4F17">
              <w:rPr>
                <w:color w:val="auto"/>
                <w:spacing w:val="-3"/>
                <w:szCs w:val="24"/>
                <w:vertAlign w:val="superscript"/>
              </w:rPr>
              <w:t>3</w:t>
            </w:r>
            <w:r w:rsidR="00FD4F17">
              <w:rPr>
                <w:color w:val="auto"/>
                <w:spacing w:val="-3"/>
                <w:szCs w:val="24"/>
              </w:rPr>
              <w:t xml:space="preserve"> molecule</w:t>
            </w:r>
            <w:r w:rsidR="00FD4F17" w:rsidRPr="00FD4F17">
              <w:rPr>
                <w:color w:val="auto"/>
                <w:spacing w:val="-3"/>
                <w:szCs w:val="24"/>
                <w:vertAlign w:val="superscript"/>
              </w:rPr>
              <w:t>-1</w:t>
            </w:r>
            <w:r w:rsidR="00FD4F17">
              <w:rPr>
                <w:color w:val="auto"/>
                <w:spacing w:val="-3"/>
                <w:szCs w:val="24"/>
              </w:rPr>
              <w:t xml:space="preserve"> </w:t>
            </w:r>
            <w:r w:rsidRPr="001D3940">
              <w:rPr>
                <w:color w:val="auto"/>
                <w:spacing w:val="-3"/>
                <w:szCs w:val="24"/>
              </w:rPr>
              <w:t>s</w:t>
            </w:r>
            <w:r w:rsidRPr="001D3940">
              <w:rPr>
                <w:color w:val="auto"/>
                <w:spacing w:val="-3"/>
                <w:szCs w:val="24"/>
                <w:vertAlign w:val="superscript"/>
              </w:rPr>
              <w:t>-1</w:t>
            </w:r>
          </w:p>
        </w:tc>
        <w:tc>
          <w:tcPr>
            <w:tcW w:w="3332" w:type="dxa"/>
            <w:shd w:val="clear" w:color="auto" w:fill="auto"/>
          </w:tcPr>
          <w:p w14:paraId="424838D3" w14:textId="77777777" w:rsidR="00ED24D0" w:rsidRPr="00A5312B" w:rsidRDefault="00FC7D11" w:rsidP="00A5312B">
            <w:pPr>
              <w:tabs>
                <w:tab w:val="left" w:pos="0"/>
                <w:tab w:val="left" w:pos="444"/>
                <w:tab w:val="left" w:pos="720"/>
              </w:tabs>
              <w:spacing w:line="240" w:lineRule="atLeast"/>
              <w:jc w:val="center"/>
              <w:rPr>
                <w:color w:val="auto"/>
                <w:spacing w:val="-3"/>
                <w:szCs w:val="24"/>
              </w:rPr>
            </w:pPr>
            <w:r>
              <w:t>1.</w:t>
            </w:r>
            <w:r w:rsidR="000E4DF3">
              <w:t>5</w:t>
            </w:r>
            <w:r>
              <w:t>5 ×</w:t>
            </w:r>
            <w:r w:rsidR="002D4F64">
              <w:t xml:space="preserve"> </w:t>
            </w:r>
            <w:r>
              <w:t>10</w:t>
            </w:r>
            <w:r>
              <w:rPr>
                <w:vertAlign w:val="superscript"/>
              </w:rPr>
              <w:t>-10</w:t>
            </w:r>
            <w:r>
              <w:t xml:space="preserve">  </w:t>
            </w:r>
          </w:p>
        </w:tc>
        <w:tc>
          <w:tcPr>
            <w:tcW w:w="1992" w:type="dxa"/>
            <w:shd w:val="clear" w:color="auto" w:fill="auto"/>
          </w:tcPr>
          <w:p w14:paraId="67B8C639"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r w:rsidR="00A5312B" w:rsidRPr="001D3940" w14:paraId="117BB379" w14:textId="77777777" w:rsidTr="00B071AB">
        <w:tc>
          <w:tcPr>
            <w:tcW w:w="3198" w:type="dxa"/>
            <w:shd w:val="clear" w:color="auto" w:fill="auto"/>
          </w:tcPr>
          <w:p w14:paraId="38309AC9" w14:textId="77777777" w:rsidR="00A5312B" w:rsidRPr="00DC5F36" w:rsidRDefault="00A5312B" w:rsidP="00B071AB">
            <w:pPr>
              <w:tabs>
                <w:tab w:val="left" w:pos="0"/>
                <w:tab w:val="left" w:pos="444"/>
                <w:tab w:val="left" w:pos="720"/>
              </w:tabs>
              <w:spacing w:after="120" w:line="240" w:lineRule="atLeast"/>
              <w:jc w:val="center"/>
              <w:rPr>
                <w:color w:val="auto"/>
                <w:spacing w:val="-3"/>
              </w:rPr>
            </w:pPr>
            <w:r w:rsidRPr="001D3940">
              <w:rPr>
                <w:i/>
                <w:color w:val="auto"/>
                <w:spacing w:val="-3"/>
                <w:szCs w:val="24"/>
              </w:rPr>
              <w:t>k</w:t>
            </w:r>
            <w:r w:rsidR="00F920DF" w:rsidRPr="00F920DF">
              <w:rPr>
                <w:i/>
                <w:color w:val="auto"/>
                <w:spacing w:val="-3"/>
                <w:szCs w:val="24"/>
                <w:vertAlign w:val="subscript"/>
              </w:rPr>
              <w:t>∞</w:t>
            </w:r>
            <w:r w:rsidRPr="001D3940">
              <w:rPr>
                <w:color w:val="auto"/>
                <w:spacing w:val="-3"/>
                <w:szCs w:val="24"/>
              </w:rPr>
              <w:t xml:space="preserve">/ </w:t>
            </w:r>
            <w:r w:rsidR="002D4F64">
              <w:rPr>
                <w:color w:val="auto"/>
                <w:spacing w:val="-3"/>
                <w:szCs w:val="24"/>
              </w:rPr>
              <w:t>cm</w:t>
            </w:r>
            <w:r w:rsidR="002D4F64" w:rsidRPr="00FD4F17">
              <w:rPr>
                <w:color w:val="auto"/>
                <w:spacing w:val="-3"/>
                <w:szCs w:val="24"/>
                <w:vertAlign w:val="superscript"/>
              </w:rPr>
              <w:t>3</w:t>
            </w:r>
            <w:r w:rsidR="002D4F64">
              <w:rPr>
                <w:color w:val="auto"/>
                <w:spacing w:val="-3"/>
                <w:szCs w:val="24"/>
              </w:rPr>
              <w:t xml:space="preserve"> molecule</w:t>
            </w:r>
            <w:r w:rsidR="002D4F64" w:rsidRPr="00FD4F17">
              <w:rPr>
                <w:color w:val="auto"/>
                <w:spacing w:val="-3"/>
                <w:szCs w:val="24"/>
                <w:vertAlign w:val="superscript"/>
              </w:rPr>
              <w:t>-1</w:t>
            </w:r>
            <w:r w:rsidR="002D4F64">
              <w:rPr>
                <w:color w:val="auto"/>
                <w:spacing w:val="-3"/>
                <w:szCs w:val="24"/>
              </w:rPr>
              <w:t xml:space="preserve"> </w:t>
            </w:r>
            <w:r w:rsidR="002D4F64" w:rsidRPr="001D3940">
              <w:rPr>
                <w:color w:val="auto"/>
                <w:spacing w:val="-3"/>
                <w:szCs w:val="24"/>
              </w:rPr>
              <w:t>s</w:t>
            </w:r>
            <w:r w:rsidR="002D4F64" w:rsidRPr="001D3940">
              <w:rPr>
                <w:color w:val="auto"/>
                <w:spacing w:val="-3"/>
                <w:szCs w:val="24"/>
                <w:vertAlign w:val="superscript"/>
              </w:rPr>
              <w:t>-1</w:t>
            </w:r>
          </w:p>
        </w:tc>
        <w:tc>
          <w:tcPr>
            <w:tcW w:w="3332" w:type="dxa"/>
            <w:shd w:val="clear" w:color="auto" w:fill="auto"/>
          </w:tcPr>
          <w:p w14:paraId="3BAED248" w14:textId="77777777" w:rsidR="00A5312B" w:rsidRPr="00A5312B" w:rsidRDefault="000E4DF3" w:rsidP="00B071AB">
            <w:pPr>
              <w:tabs>
                <w:tab w:val="left" w:pos="0"/>
                <w:tab w:val="left" w:pos="444"/>
                <w:tab w:val="left" w:pos="720"/>
              </w:tabs>
              <w:spacing w:after="120" w:line="240" w:lineRule="atLeast"/>
              <w:jc w:val="center"/>
              <w:rPr>
                <w:color w:val="auto"/>
                <w:spacing w:val="-3"/>
                <w:szCs w:val="24"/>
              </w:rPr>
            </w:pPr>
            <w:r>
              <w:t>4.23</w:t>
            </w:r>
            <w:r w:rsidR="00B36F17">
              <w:t xml:space="preserve"> ×</w:t>
            </w:r>
            <w:r w:rsidR="002D4F64">
              <w:t xml:space="preserve"> </w:t>
            </w:r>
            <w:r w:rsidR="00B36F17">
              <w:t>10</w:t>
            </w:r>
            <w:r w:rsidR="00FC7D11">
              <w:rPr>
                <w:vertAlign w:val="superscript"/>
              </w:rPr>
              <w:t>-13</w:t>
            </w:r>
            <w:r w:rsidR="00B36F17">
              <w:t xml:space="preserve"> exp(</w:t>
            </w:r>
            <w:r w:rsidR="00FC7D11">
              <w:t>1</w:t>
            </w:r>
            <w:r>
              <w:t>7</w:t>
            </w:r>
            <w:r w:rsidR="00FC7D11">
              <w:t>60</w:t>
            </w:r>
            <w:r w:rsidR="00B36F17">
              <w:t>/</w:t>
            </w:r>
            <w:r w:rsidR="00B36F17" w:rsidRPr="00B36F17">
              <w:rPr>
                <w:i/>
                <w:iCs/>
              </w:rPr>
              <w:t>T</w:t>
            </w:r>
            <w:r w:rsidR="00B36F17">
              <w:t>)</w:t>
            </w:r>
          </w:p>
        </w:tc>
        <w:tc>
          <w:tcPr>
            <w:tcW w:w="1992" w:type="dxa"/>
            <w:shd w:val="clear" w:color="auto" w:fill="auto"/>
          </w:tcPr>
          <w:p w14:paraId="3CC5F603" w14:textId="77777777" w:rsidR="00A5312B" w:rsidRPr="001D3940" w:rsidRDefault="00A5312B" w:rsidP="00B071AB">
            <w:pPr>
              <w:tabs>
                <w:tab w:val="left" w:pos="0"/>
                <w:tab w:val="left" w:pos="444"/>
                <w:tab w:val="left" w:pos="720"/>
              </w:tabs>
              <w:spacing w:after="120" w:line="240" w:lineRule="atLeast"/>
              <w:jc w:val="center"/>
              <w:rPr>
                <w:color w:val="auto"/>
              </w:rPr>
            </w:pPr>
            <w:r w:rsidRPr="001D3940">
              <w:rPr>
                <w:color w:val="auto"/>
                <w:spacing w:val="-3"/>
                <w:szCs w:val="24"/>
              </w:rPr>
              <w:t>2</w:t>
            </w:r>
            <w:r w:rsidR="00B36F17">
              <w:rPr>
                <w:color w:val="auto"/>
                <w:spacing w:val="-3"/>
                <w:szCs w:val="24"/>
              </w:rPr>
              <w:t>80-3</w:t>
            </w:r>
            <w:r w:rsidR="00FC7D11">
              <w:rPr>
                <w:color w:val="auto"/>
                <w:spacing w:val="-3"/>
                <w:szCs w:val="24"/>
              </w:rPr>
              <w:t>05</w:t>
            </w:r>
          </w:p>
        </w:tc>
      </w:tr>
    </w:tbl>
    <w:p w14:paraId="51A0EF64"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85481F" w:rsidRPr="001D3940" w14:paraId="37ADC6AD" w14:textId="77777777" w:rsidTr="00A5312B">
        <w:tc>
          <w:tcPr>
            <w:tcW w:w="3056" w:type="dxa"/>
            <w:shd w:val="clear" w:color="auto" w:fill="auto"/>
          </w:tcPr>
          <w:p w14:paraId="260C9F47" w14:textId="77777777" w:rsidR="0085481F" w:rsidRPr="001D3940" w:rsidRDefault="0085481F" w:rsidP="00B11AA9">
            <w:pPr>
              <w:tabs>
                <w:tab w:val="left" w:pos="0"/>
                <w:tab w:val="left" w:pos="444"/>
                <w:tab w:val="left" w:pos="720"/>
              </w:tabs>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w:t>
            </w:r>
            <w:r w:rsidR="00A5312B" w:rsidRPr="001D3940">
              <w:rPr>
                <w:i/>
                <w:color w:val="auto"/>
                <w:spacing w:val="-3"/>
                <w:szCs w:val="24"/>
              </w:rPr>
              <w:t>k</w:t>
            </w:r>
            <w:r w:rsidR="00F920DF" w:rsidRPr="00F920DF">
              <w:rPr>
                <w:i/>
                <w:color w:val="auto"/>
                <w:spacing w:val="-3"/>
                <w:szCs w:val="24"/>
                <w:vertAlign w:val="subscript"/>
              </w:rPr>
              <w:t>∞</w:t>
            </w:r>
          </w:p>
        </w:tc>
        <w:tc>
          <w:tcPr>
            <w:tcW w:w="3455" w:type="dxa"/>
            <w:shd w:val="clear" w:color="auto" w:fill="auto"/>
          </w:tcPr>
          <w:p w14:paraId="4D47395D" w14:textId="77777777" w:rsidR="0085481F" w:rsidRPr="001D3940" w:rsidRDefault="0085481F" w:rsidP="00A5312B">
            <w:pPr>
              <w:tabs>
                <w:tab w:val="left" w:pos="0"/>
                <w:tab w:val="left" w:pos="444"/>
                <w:tab w:val="left" w:pos="720"/>
              </w:tabs>
              <w:jc w:val="center"/>
              <w:rPr>
                <w:color w:val="auto"/>
                <w:spacing w:val="-3"/>
                <w:szCs w:val="24"/>
              </w:rPr>
            </w:pPr>
            <w:r w:rsidRPr="001D3940">
              <w:rPr>
                <w:color w:val="auto"/>
                <w:spacing w:val="-3"/>
                <w:szCs w:val="24"/>
              </w:rPr>
              <w:t>± 0.</w:t>
            </w:r>
            <w:r w:rsidR="000E4DF3">
              <w:rPr>
                <w:color w:val="auto"/>
                <w:spacing w:val="-3"/>
                <w:szCs w:val="24"/>
              </w:rPr>
              <w:t>1</w:t>
            </w:r>
            <w:r w:rsidR="00FC7D11">
              <w:rPr>
                <w:color w:val="auto"/>
                <w:spacing w:val="-3"/>
                <w:szCs w:val="24"/>
              </w:rPr>
              <w:t>5</w:t>
            </w:r>
          </w:p>
        </w:tc>
        <w:tc>
          <w:tcPr>
            <w:tcW w:w="2011" w:type="dxa"/>
            <w:shd w:val="clear" w:color="auto" w:fill="auto"/>
          </w:tcPr>
          <w:p w14:paraId="40708511" w14:textId="77777777" w:rsidR="0085481F" w:rsidRPr="001D3940" w:rsidRDefault="0085481F" w:rsidP="00A5312B">
            <w:pPr>
              <w:tabs>
                <w:tab w:val="left" w:pos="0"/>
                <w:tab w:val="left" w:pos="444"/>
                <w:tab w:val="left" w:pos="720"/>
              </w:tabs>
              <w:jc w:val="center"/>
              <w:rPr>
                <w:color w:val="auto"/>
              </w:rPr>
            </w:pPr>
            <w:r w:rsidRPr="001D3940">
              <w:rPr>
                <w:color w:val="auto"/>
                <w:spacing w:val="-3"/>
                <w:szCs w:val="24"/>
              </w:rPr>
              <w:t>298</w:t>
            </w:r>
          </w:p>
        </w:tc>
      </w:tr>
      <w:tr w:rsidR="00A5312B" w:rsidRPr="001D3940" w14:paraId="25992929" w14:textId="77777777" w:rsidTr="003964D0">
        <w:tc>
          <w:tcPr>
            <w:tcW w:w="3056" w:type="dxa"/>
            <w:tcBorders>
              <w:bottom w:val="single" w:sz="4" w:space="0" w:color="auto"/>
            </w:tcBorders>
            <w:shd w:val="clear" w:color="auto" w:fill="auto"/>
          </w:tcPr>
          <w:p w14:paraId="20ABAB19" w14:textId="77777777" w:rsidR="00A5312B" w:rsidRPr="001D3940" w:rsidRDefault="00A5312B" w:rsidP="00B11AA9">
            <w:pPr>
              <w:tabs>
                <w:tab w:val="left" w:pos="0"/>
                <w:tab w:val="left" w:pos="444"/>
                <w:tab w:val="left" w:pos="720"/>
              </w:tabs>
              <w:spacing w:after="120"/>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w:t>
            </w:r>
            <w:r w:rsidR="007B0EF5">
              <w:rPr>
                <w:color w:val="auto"/>
                <w:spacing w:val="-3"/>
                <w:szCs w:val="24"/>
              </w:rPr>
              <w:t>(</w:t>
            </w:r>
            <w:r w:rsidR="007B0EF5" w:rsidRPr="007B0EF5">
              <w:rPr>
                <w:i/>
                <w:iCs/>
                <w:color w:val="auto"/>
                <w:spacing w:val="-3"/>
                <w:szCs w:val="24"/>
              </w:rPr>
              <w:t>E</w:t>
            </w:r>
            <w:r w:rsidR="007B0EF5">
              <w:rPr>
                <w:color w:val="auto"/>
                <w:spacing w:val="-3"/>
                <w:szCs w:val="24"/>
              </w:rPr>
              <w:t>/</w:t>
            </w:r>
            <w:r w:rsidR="007B0EF5" w:rsidRPr="007B0EF5">
              <w:rPr>
                <w:i/>
                <w:iCs/>
                <w:color w:val="auto"/>
                <w:spacing w:val="-3"/>
                <w:szCs w:val="24"/>
              </w:rPr>
              <w:t>R</w:t>
            </w:r>
            <w:r w:rsidR="007B0EF5">
              <w:rPr>
                <w:color w:val="auto"/>
                <w:spacing w:val="-3"/>
                <w:szCs w:val="24"/>
              </w:rPr>
              <w:t>)</w:t>
            </w:r>
          </w:p>
        </w:tc>
        <w:tc>
          <w:tcPr>
            <w:tcW w:w="3455" w:type="dxa"/>
            <w:tcBorders>
              <w:bottom w:val="single" w:sz="4" w:space="0" w:color="auto"/>
            </w:tcBorders>
            <w:shd w:val="clear" w:color="auto" w:fill="auto"/>
          </w:tcPr>
          <w:p w14:paraId="74CFA629" w14:textId="77777777" w:rsidR="00A5312B" w:rsidRPr="001D3940" w:rsidRDefault="00A5312B" w:rsidP="00A5312B">
            <w:pPr>
              <w:tabs>
                <w:tab w:val="left" w:pos="0"/>
                <w:tab w:val="left" w:pos="444"/>
                <w:tab w:val="left" w:pos="720"/>
              </w:tabs>
              <w:jc w:val="center"/>
              <w:rPr>
                <w:color w:val="auto"/>
                <w:spacing w:val="-3"/>
                <w:szCs w:val="24"/>
              </w:rPr>
            </w:pPr>
            <w:r w:rsidRPr="001D3940">
              <w:rPr>
                <w:color w:val="auto"/>
                <w:spacing w:val="-3"/>
                <w:szCs w:val="24"/>
              </w:rPr>
              <w:t xml:space="preserve">± </w:t>
            </w:r>
            <w:r w:rsidR="00FC7D11">
              <w:rPr>
                <w:color w:val="auto"/>
                <w:spacing w:val="-3"/>
                <w:szCs w:val="24"/>
              </w:rPr>
              <w:t>5</w:t>
            </w:r>
            <w:r w:rsidR="007B0EF5">
              <w:rPr>
                <w:color w:val="auto"/>
                <w:spacing w:val="-3"/>
                <w:szCs w:val="24"/>
              </w:rPr>
              <w:t>00</w:t>
            </w:r>
          </w:p>
        </w:tc>
        <w:tc>
          <w:tcPr>
            <w:tcW w:w="2011" w:type="dxa"/>
            <w:tcBorders>
              <w:bottom w:val="single" w:sz="4" w:space="0" w:color="auto"/>
            </w:tcBorders>
            <w:shd w:val="clear" w:color="auto" w:fill="auto"/>
          </w:tcPr>
          <w:p w14:paraId="5D26690E" w14:textId="77777777" w:rsidR="00A5312B" w:rsidRPr="001D3940" w:rsidRDefault="007B0EF5" w:rsidP="00C77266">
            <w:pPr>
              <w:tabs>
                <w:tab w:val="left" w:pos="0"/>
                <w:tab w:val="left" w:pos="444"/>
                <w:tab w:val="left" w:pos="720"/>
              </w:tabs>
              <w:jc w:val="center"/>
              <w:rPr>
                <w:color w:val="auto"/>
              </w:rPr>
            </w:pPr>
            <w:r w:rsidRPr="001D3940">
              <w:rPr>
                <w:color w:val="auto"/>
                <w:spacing w:val="-3"/>
                <w:szCs w:val="24"/>
              </w:rPr>
              <w:t>2</w:t>
            </w:r>
            <w:r>
              <w:rPr>
                <w:color w:val="auto"/>
                <w:spacing w:val="-3"/>
                <w:szCs w:val="24"/>
              </w:rPr>
              <w:t>80-3</w:t>
            </w:r>
            <w:r w:rsidR="00FC7D11">
              <w:rPr>
                <w:color w:val="auto"/>
                <w:spacing w:val="-3"/>
                <w:szCs w:val="24"/>
              </w:rPr>
              <w:t>05</w:t>
            </w:r>
          </w:p>
        </w:tc>
      </w:tr>
    </w:tbl>
    <w:p w14:paraId="7FCCD305" w14:textId="77777777" w:rsidR="0085481F" w:rsidRDefault="0085481F" w:rsidP="00A34B0D">
      <w:pPr>
        <w:tabs>
          <w:tab w:val="left" w:pos="-1440"/>
          <w:tab w:val="left" w:pos="-720"/>
          <w:tab w:val="left" w:pos="444"/>
        </w:tabs>
        <w:jc w:val="both"/>
        <w:rPr>
          <w:color w:val="auto"/>
        </w:rPr>
      </w:pPr>
    </w:p>
    <w:p w14:paraId="6FC871CE" w14:textId="77777777" w:rsidR="00CA56DB" w:rsidRDefault="00CA56DB" w:rsidP="00057B6C">
      <w:pPr>
        <w:tabs>
          <w:tab w:val="left" w:pos="-1440"/>
          <w:tab w:val="left" w:pos="-720"/>
          <w:tab w:val="left" w:pos="444"/>
        </w:tabs>
        <w:jc w:val="both"/>
        <w:rPr>
          <w:color w:val="auto"/>
        </w:rPr>
      </w:pPr>
    </w:p>
    <w:p w14:paraId="77C2E9F0"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0B959101" w14:textId="77777777" w:rsidR="00D50BCE" w:rsidRDefault="00D50BCE" w:rsidP="00D50BCE">
      <w:pPr>
        <w:tabs>
          <w:tab w:val="left" w:pos="-1440"/>
          <w:tab w:val="left" w:pos="-720"/>
          <w:tab w:val="left" w:pos="444"/>
        </w:tabs>
        <w:ind w:firstLine="444"/>
        <w:jc w:val="both"/>
      </w:pPr>
      <w:r>
        <w:t xml:space="preserve">The preferred values are based on all the tabulated studies, in which the rate coefficients were measured by direct kinetic methods. At pressures above about 133 mbar (100 Torr), </w:t>
      </w:r>
      <w:r w:rsidRPr="00D50BCE">
        <w:rPr>
          <w:i/>
          <w:iCs/>
        </w:rPr>
        <w:t>k</w:t>
      </w:r>
      <w:r>
        <w:t xml:space="preserve"> was found to be independent of pressure, and there is reasonable consistency in the results from the three studies. The preferred value of (</w:t>
      </w:r>
      <w:r w:rsidRPr="00D50BCE">
        <w:rPr>
          <w:i/>
          <w:iCs/>
        </w:rPr>
        <w:t>E</w:t>
      </w:r>
      <w:r>
        <w:t>/</w:t>
      </w:r>
      <w:r w:rsidRPr="00D50BCE">
        <w:rPr>
          <w:i/>
          <w:iCs/>
        </w:rPr>
        <w:t>R</w:t>
      </w:r>
      <w:r>
        <w:t xml:space="preserve">) is based on the data of Smith et al. (2016). The 298 K preferred value of </w:t>
      </w:r>
      <w:r w:rsidRPr="00D50BCE">
        <w:rPr>
          <w:i/>
          <w:iCs/>
        </w:rPr>
        <w:t>k</w:t>
      </w:r>
      <w:r w:rsidRPr="00D50BCE">
        <w:rPr>
          <w:vertAlign w:val="subscript"/>
        </w:rPr>
        <w:t>∞</w:t>
      </w:r>
      <w:r>
        <w:t xml:space="preserve"> is the average of values reported at or near 298 K in the three studies, corrected for temperature where necessary using the preferred value of (</w:t>
      </w:r>
      <w:r w:rsidRPr="00D50BCE">
        <w:rPr>
          <w:i/>
          <w:iCs/>
        </w:rPr>
        <w:t>E</w:t>
      </w:r>
      <w:r>
        <w:t>/</w:t>
      </w:r>
      <w:r w:rsidRPr="00D50BCE">
        <w:rPr>
          <w:i/>
          <w:iCs/>
        </w:rPr>
        <w:t>R</w:t>
      </w:r>
      <w:r>
        <w:t xml:space="preserve">). It is noted that the rate coefficients measured by Chhantyal-Pun et al. (2017) are larger than </w:t>
      </w:r>
      <w:r w:rsidR="0019689A">
        <w:t>those</w:t>
      </w:r>
      <w:r>
        <w:t xml:space="preserve"> reported</w:t>
      </w:r>
      <w:r w:rsidR="0019689A">
        <w:t xml:space="preserve"> for similar conditions</w:t>
      </w:r>
      <w:r>
        <w:t xml:space="preserve"> </w:t>
      </w:r>
      <w:r w:rsidR="0019689A">
        <w:t xml:space="preserve">in the other studies (e.g. </w:t>
      </w:r>
      <w:r>
        <w:t xml:space="preserve">by </w:t>
      </w:r>
      <w:r w:rsidR="0019689A">
        <w:t>about 40</w:t>
      </w:r>
      <w:r w:rsidR="0019689A" w:rsidRPr="0019689A">
        <w:rPr>
          <w:rFonts w:ascii="Symbol" w:hAnsi="Symbol"/>
        </w:rPr>
        <w:t>-</w:t>
      </w:r>
      <w:r w:rsidR="0019689A">
        <w:t xml:space="preserve">50 % for </w:t>
      </w:r>
      <w:r w:rsidR="0019689A" w:rsidRPr="0019689A">
        <w:rPr>
          <w:i/>
          <w:iCs/>
        </w:rPr>
        <w:t>k</w:t>
      </w:r>
      <w:r w:rsidR="0019689A" w:rsidRPr="0019689A">
        <w:rPr>
          <w:vertAlign w:val="subscript"/>
        </w:rPr>
        <w:t>∞</w:t>
      </w:r>
      <w:r w:rsidR="0019689A">
        <w:t xml:space="preserve">), and this is reflected in the reliability assigned to the 298 K preferred value. </w:t>
      </w:r>
    </w:p>
    <w:p w14:paraId="03E88DBD" w14:textId="77777777" w:rsidR="00B071AB" w:rsidRDefault="0019689A" w:rsidP="00B071AB">
      <w:pPr>
        <w:tabs>
          <w:tab w:val="left" w:pos="-1440"/>
          <w:tab w:val="left" w:pos="-720"/>
          <w:tab w:val="left" w:pos="444"/>
        </w:tabs>
        <w:ind w:firstLine="444"/>
        <w:jc w:val="both"/>
      </w:pPr>
      <w:r>
        <w:t xml:space="preserve">The studies of Huang et al. (2015) and Chhantyal-Pun et al. (2017) demonstrate that the value of </w:t>
      </w:r>
      <w:r w:rsidR="00D50BCE" w:rsidRPr="0019689A">
        <w:rPr>
          <w:i/>
          <w:iCs/>
        </w:rPr>
        <w:t>k</w:t>
      </w:r>
      <w:r w:rsidR="00D50BCE">
        <w:t xml:space="preserve"> fall</w:t>
      </w:r>
      <w:r>
        <w:t>s</w:t>
      </w:r>
      <w:r w:rsidR="00D50BCE">
        <w:t xml:space="preserve"> off</w:t>
      </w:r>
      <w:r>
        <w:t xml:space="preserve"> at </w:t>
      </w:r>
      <w:r w:rsidR="00D50BCE">
        <w:t>pressure</w:t>
      </w:r>
      <w:r>
        <w:t>s below about 133 mbar (100 Torr)</w:t>
      </w:r>
      <w:r w:rsidR="00276CE1">
        <w:t>. However, the decrease between 133 mbar and 13 mbar reported by Huang et al. (2015) (about a factor of two) is much greater than that reported by</w:t>
      </w:r>
      <w:r>
        <w:t xml:space="preserve"> </w:t>
      </w:r>
      <w:r w:rsidR="00276CE1">
        <w:t>Chhantyal-Pun et al. (2017) (about 20 %).</w:t>
      </w:r>
      <w:r w:rsidR="00B071AB">
        <w:t xml:space="preserve"> At present, therefore, we make no recommendation for the pressure dependence.</w:t>
      </w:r>
    </w:p>
    <w:p w14:paraId="0B922BE2" w14:textId="77777777" w:rsidR="00B071AB" w:rsidRPr="00913300" w:rsidRDefault="002A3239" w:rsidP="00B071AB">
      <w:pPr>
        <w:tabs>
          <w:tab w:val="left" w:pos="-1440"/>
          <w:tab w:val="left" w:pos="-720"/>
          <w:tab w:val="left" w:pos="444"/>
        </w:tabs>
        <w:ind w:firstLine="444"/>
        <w:jc w:val="both"/>
        <w:rPr>
          <w:lang w:bidi="en-US"/>
        </w:rPr>
      </w:pPr>
      <w:r>
        <w:t xml:space="preserve">Chhantyal-Pun et al. (2017) also observed the production of </w:t>
      </w:r>
      <w:r w:rsidRPr="00913300">
        <w:rPr>
          <w:lang w:bidi="en-US"/>
        </w:rPr>
        <w:t>SO</w:t>
      </w:r>
      <w:r w:rsidRPr="00913300">
        <w:rPr>
          <w:vertAlign w:val="subscript"/>
          <w:lang w:bidi="en-US"/>
        </w:rPr>
        <w:t>3</w:t>
      </w:r>
      <w:r>
        <w:rPr>
          <w:lang w:bidi="en-US"/>
        </w:rPr>
        <w:t xml:space="preserve">, in experiments at 13 mbar using PIMS. </w:t>
      </w:r>
      <w:r w:rsidR="00B071AB" w:rsidRPr="00913300">
        <w:rPr>
          <w:lang w:bidi="en-US"/>
        </w:rPr>
        <w:t>The rise time of SO</w:t>
      </w:r>
      <w:r w:rsidR="00B071AB" w:rsidRPr="00913300">
        <w:rPr>
          <w:vertAlign w:val="subscript"/>
          <w:lang w:bidi="en-US"/>
        </w:rPr>
        <w:t>3</w:t>
      </w:r>
      <w:r w:rsidR="00B071AB" w:rsidRPr="00913300">
        <w:rPr>
          <w:lang w:bidi="en-US"/>
        </w:rPr>
        <w:t xml:space="preserve"> </w:t>
      </w:r>
      <w:r>
        <w:rPr>
          <w:lang w:bidi="en-US"/>
        </w:rPr>
        <w:t xml:space="preserve">was found to </w:t>
      </w:r>
      <w:r w:rsidR="00B071AB" w:rsidRPr="00913300">
        <w:rPr>
          <w:lang w:bidi="en-US"/>
        </w:rPr>
        <w:t>agree reasonably well with the observed decay of (CH</w:t>
      </w:r>
      <w:r w:rsidR="00B071AB" w:rsidRPr="00913300">
        <w:rPr>
          <w:vertAlign w:val="subscript"/>
          <w:lang w:bidi="en-US"/>
        </w:rPr>
        <w:t>3</w:t>
      </w:r>
      <w:r w:rsidR="00B071AB" w:rsidRPr="00913300">
        <w:rPr>
          <w:lang w:bidi="en-US"/>
        </w:rPr>
        <w:t>)</w:t>
      </w:r>
      <w:r w:rsidR="00B071AB" w:rsidRPr="00913300">
        <w:rPr>
          <w:vertAlign w:val="subscript"/>
          <w:lang w:bidi="en-US"/>
        </w:rPr>
        <w:t>2</w:t>
      </w:r>
      <w:r w:rsidR="00B071AB" w:rsidRPr="00913300">
        <w:rPr>
          <w:lang w:bidi="en-US"/>
        </w:rPr>
        <w:t>COO, confirming that SO</w:t>
      </w:r>
      <w:r w:rsidR="00B071AB" w:rsidRPr="00913300">
        <w:rPr>
          <w:vertAlign w:val="subscript"/>
          <w:lang w:bidi="en-US"/>
        </w:rPr>
        <w:t>3</w:t>
      </w:r>
      <w:r w:rsidR="00B071AB" w:rsidRPr="00913300">
        <w:rPr>
          <w:lang w:bidi="en-US"/>
        </w:rPr>
        <w:t xml:space="preserve"> is a direct product of the reaction</w:t>
      </w:r>
      <w:r>
        <w:rPr>
          <w:lang w:bidi="en-US"/>
        </w:rPr>
        <w:t xml:space="preserve">. </w:t>
      </w:r>
      <w:r w:rsidR="00B071AB" w:rsidRPr="00913300">
        <w:rPr>
          <w:lang w:bidi="en-US"/>
        </w:rPr>
        <w:t>Steady state kinetics studies in which loss of SO</w:t>
      </w:r>
      <w:r w:rsidR="00B071AB" w:rsidRPr="00913300">
        <w:rPr>
          <w:vertAlign w:val="subscript"/>
          <w:lang w:bidi="en-US"/>
        </w:rPr>
        <w:t>2</w:t>
      </w:r>
      <w:r w:rsidR="00B071AB" w:rsidRPr="00913300">
        <w:rPr>
          <w:lang w:bidi="en-US"/>
        </w:rPr>
        <w:t xml:space="preserve"> (Newland et al</w:t>
      </w:r>
      <w:r>
        <w:rPr>
          <w:lang w:bidi="en-US"/>
        </w:rPr>
        <w:t>.</w:t>
      </w:r>
      <w:r w:rsidR="00B071AB" w:rsidRPr="00913300">
        <w:rPr>
          <w:lang w:bidi="en-US"/>
        </w:rPr>
        <w:t>, 201</w:t>
      </w:r>
      <w:r w:rsidR="00B32805">
        <w:rPr>
          <w:lang w:bidi="en-US"/>
        </w:rPr>
        <w:t>5</w:t>
      </w:r>
      <w:r w:rsidR="00B071AB" w:rsidRPr="00913300">
        <w:rPr>
          <w:lang w:bidi="en-US"/>
        </w:rPr>
        <w:t>) and formation of H</w:t>
      </w:r>
      <w:r w:rsidR="00B071AB" w:rsidRPr="00913300">
        <w:rPr>
          <w:vertAlign w:val="subscript"/>
          <w:lang w:bidi="en-US"/>
        </w:rPr>
        <w:t>2</w:t>
      </w:r>
      <w:r w:rsidR="00B071AB" w:rsidRPr="00913300">
        <w:rPr>
          <w:lang w:bidi="en-US"/>
        </w:rPr>
        <w:t>SO</w:t>
      </w:r>
      <w:r w:rsidR="00B071AB" w:rsidRPr="00913300">
        <w:rPr>
          <w:vertAlign w:val="subscript"/>
          <w:lang w:bidi="en-US"/>
        </w:rPr>
        <w:t>4</w:t>
      </w:r>
      <w:r w:rsidR="00B071AB" w:rsidRPr="00913300">
        <w:rPr>
          <w:lang w:bidi="en-US"/>
        </w:rPr>
        <w:t xml:space="preserve"> (Berndt et al., 2014) were measured </w:t>
      </w:r>
      <w:r>
        <w:rPr>
          <w:lang w:bidi="en-US"/>
        </w:rPr>
        <w:t>during</w:t>
      </w:r>
      <w:r w:rsidR="00B071AB" w:rsidRPr="00913300">
        <w:rPr>
          <w:lang w:bidi="en-US"/>
        </w:rPr>
        <w:t xml:space="preserve"> the </w:t>
      </w:r>
      <w:proofErr w:type="spellStart"/>
      <w:r w:rsidR="00B071AB" w:rsidRPr="00913300">
        <w:rPr>
          <w:lang w:bidi="en-US"/>
        </w:rPr>
        <w:t>ozonolysis</w:t>
      </w:r>
      <w:proofErr w:type="spellEnd"/>
      <w:r w:rsidR="00B071AB" w:rsidRPr="00913300">
        <w:rPr>
          <w:lang w:bidi="en-US"/>
        </w:rPr>
        <w:t xml:space="preserve"> of </w:t>
      </w:r>
      <w:r>
        <w:rPr>
          <w:lang w:bidi="en-US"/>
        </w:rPr>
        <w:t>2,2-dimethyl-but-2-ene</w:t>
      </w:r>
      <w:r w:rsidR="00B071AB" w:rsidRPr="00913300">
        <w:rPr>
          <w:lang w:bidi="en-US"/>
        </w:rPr>
        <w:t xml:space="preserve"> give broadly </w:t>
      </w:r>
      <w:r w:rsidR="00065255">
        <w:rPr>
          <w:lang w:bidi="en-US"/>
        </w:rPr>
        <w:t>similar</w:t>
      </w:r>
      <w:r w:rsidR="00B071AB" w:rsidRPr="00913300">
        <w:rPr>
          <w:lang w:bidi="en-US"/>
        </w:rPr>
        <w:t xml:space="preserve"> relative rate constants</w:t>
      </w:r>
      <w:r>
        <w:rPr>
          <w:lang w:bidi="en-US"/>
        </w:rPr>
        <w:t>,</w:t>
      </w:r>
      <w:r w:rsidR="00B071AB" w:rsidRPr="00913300">
        <w:rPr>
          <w:lang w:bidi="en-US"/>
        </w:rPr>
        <w:t xml:space="preserve"> </w:t>
      </w:r>
      <w:r>
        <w:rPr>
          <w:lang w:bidi="en-US"/>
        </w:rPr>
        <w:t>consistent with</w:t>
      </w:r>
      <w:r w:rsidR="00B071AB" w:rsidRPr="00913300">
        <w:rPr>
          <w:lang w:bidi="en-US"/>
        </w:rPr>
        <w:t xml:space="preserve"> SO</w:t>
      </w:r>
      <w:r w:rsidR="00B071AB" w:rsidRPr="00913300">
        <w:rPr>
          <w:vertAlign w:val="subscript"/>
          <w:lang w:bidi="en-US"/>
        </w:rPr>
        <w:t>3</w:t>
      </w:r>
      <w:r w:rsidR="00B071AB" w:rsidRPr="00913300">
        <w:rPr>
          <w:lang w:bidi="en-US"/>
        </w:rPr>
        <w:t xml:space="preserve"> formation </w:t>
      </w:r>
      <w:r w:rsidR="00472B05">
        <w:rPr>
          <w:lang w:bidi="en-US"/>
        </w:rPr>
        <w:t>remaining an important</w:t>
      </w:r>
      <w:r w:rsidR="00B071AB" w:rsidRPr="00913300">
        <w:rPr>
          <w:lang w:bidi="en-US"/>
        </w:rPr>
        <w:t xml:space="preserve"> pathway</w:t>
      </w:r>
      <w:r w:rsidR="00472B05">
        <w:rPr>
          <w:lang w:bidi="en-US"/>
        </w:rPr>
        <w:t xml:space="preserve"> at atmospheric pressure</w:t>
      </w:r>
      <w:r w:rsidR="00B071AB" w:rsidRPr="00913300">
        <w:rPr>
          <w:lang w:bidi="en-US"/>
        </w:rPr>
        <w:t>.</w:t>
      </w:r>
    </w:p>
    <w:p w14:paraId="01AA34A1" w14:textId="77777777" w:rsidR="00EB3BD8" w:rsidRDefault="00B071AB" w:rsidP="009E1E9F">
      <w:pPr>
        <w:tabs>
          <w:tab w:val="left" w:pos="-1440"/>
          <w:tab w:val="left" w:pos="-720"/>
          <w:tab w:val="left" w:pos="444"/>
        </w:tabs>
        <w:ind w:firstLine="444"/>
        <w:jc w:val="both"/>
      </w:pPr>
      <w:r w:rsidRPr="00913300">
        <w:rPr>
          <w:lang w:bidi="en-US"/>
        </w:rPr>
        <w:t>Quantum chemical studies predict that</w:t>
      </w:r>
      <w:r w:rsidR="002A3239">
        <w:rPr>
          <w:lang w:bidi="en-US"/>
        </w:rPr>
        <w:t xml:space="preserve"> the</w:t>
      </w:r>
      <w:r w:rsidRPr="00913300">
        <w:rPr>
          <w:lang w:bidi="en-US"/>
        </w:rPr>
        <w:t xml:space="preserve"> reaction</w:t>
      </w:r>
      <w:r w:rsidR="002A3239">
        <w:rPr>
          <w:lang w:bidi="en-US"/>
        </w:rPr>
        <w:t xml:space="preserve"> of (CH</w:t>
      </w:r>
      <w:r w:rsidR="002A3239" w:rsidRPr="002A3239">
        <w:rPr>
          <w:vertAlign w:val="subscript"/>
          <w:lang w:bidi="en-US"/>
        </w:rPr>
        <w:t>3</w:t>
      </w:r>
      <w:r w:rsidR="002A3239">
        <w:rPr>
          <w:lang w:bidi="en-US"/>
        </w:rPr>
        <w:t>)</w:t>
      </w:r>
      <w:r w:rsidR="002A3239" w:rsidRPr="002A3239">
        <w:rPr>
          <w:vertAlign w:val="subscript"/>
          <w:lang w:bidi="en-US"/>
        </w:rPr>
        <w:t>2</w:t>
      </w:r>
      <w:r w:rsidR="002A3239">
        <w:rPr>
          <w:lang w:bidi="en-US"/>
        </w:rPr>
        <w:t>COO</w:t>
      </w:r>
      <w:r w:rsidRPr="00913300">
        <w:rPr>
          <w:lang w:bidi="en-US"/>
        </w:rPr>
        <w:t xml:space="preserve"> with SO</w:t>
      </w:r>
      <w:r w:rsidRPr="00913300">
        <w:rPr>
          <w:vertAlign w:val="subscript"/>
          <w:lang w:bidi="en-US"/>
        </w:rPr>
        <w:t>2</w:t>
      </w:r>
      <w:r w:rsidRPr="00913300">
        <w:rPr>
          <w:lang w:bidi="en-US"/>
        </w:rPr>
        <w:t xml:space="preserve"> </w:t>
      </w:r>
      <w:r w:rsidR="002A3239">
        <w:rPr>
          <w:lang w:bidi="en-US"/>
        </w:rPr>
        <w:t>proceeds via</w:t>
      </w:r>
      <w:r w:rsidR="007C17E7">
        <w:rPr>
          <w:lang w:bidi="en-US"/>
        </w:rPr>
        <w:t xml:space="preserve"> </w:t>
      </w:r>
      <w:r w:rsidRPr="00913300">
        <w:rPr>
          <w:lang w:bidi="en-US"/>
        </w:rPr>
        <w:t>barrierless formation of a</w:t>
      </w:r>
      <w:r w:rsidR="00472B05">
        <w:rPr>
          <w:lang w:bidi="en-US"/>
        </w:rPr>
        <w:t xml:space="preserve"> chemically-activated</w:t>
      </w:r>
      <w:r w:rsidRPr="00913300">
        <w:rPr>
          <w:lang w:bidi="en-US"/>
        </w:rPr>
        <w:t xml:space="preserve"> cyclic </w:t>
      </w:r>
      <w:r w:rsidR="00472B05">
        <w:rPr>
          <w:lang w:bidi="en-US"/>
        </w:rPr>
        <w:t>secondary ozonide</w:t>
      </w:r>
      <w:r w:rsidRPr="00913300">
        <w:rPr>
          <w:lang w:bidi="en-US"/>
        </w:rPr>
        <w:t xml:space="preserve"> </w:t>
      </w:r>
      <w:r w:rsidRPr="00E55807">
        <w:rPr>
          <w:lang w:bidi="en-US"/>
        </w:rPr>
        <w:t>(Vereecken et al</w:t>
      </w:r>
      <w:r w:rsidR="007C17E7" w:rsidRPr="00E55807">
        <w:rPr>
          <w:lang w:bidi="en-US"/>
        </w:rPr>
        <w:t>.</w:t>
      </w:r>
      <w:r w:rsidRPr="00E55807">
        <w:rPr>
          <w:lang w:bidi="en-US"/>
        </w:rPr>
        <w:t xml:space="preserve"> 201</w:t>
      </w:r>
      <w:r w:rsidR="00E55807" w:rsidRPr="00E55807">
        <w:rPr>
          <w:lang w:bidi="en-US"/>
        </w:rPr>
        <w:t>2</w:t>
      </w:r>
      <w:r w:rsidRPr="00E55807">
        <w:rPr>
          <w:lang w:bidi="en-US"/>
        </w:rPr>
        <w:t>)</w:t>
      </w:r>
      <w:r w:rsidR="007C17E7" w:rsidRPr="00E55807">
        <w:rPr>
          <w:lang w:bidi="en-US"/>
        </w:rPr>
        <w:t>,</w:t>
      </w:r>
      <w:r w:rsidR="007C17E7">
        <w:rPr>
          <w:lang w:bidi="en-US"/>
        </w:rPr>
        <w:t xml:space="preserve"> and</w:t>
      </w:r>
      <w:r w:rsidRPr="00913300">
        <w:rPr>
          <w:lang w:bidi="en-US"/>
        </w:rPr>
        <w:t xml:space="preserve"> the near gas-kinetic experimental rate coefficient is consistent with this. The pressure dependence arises from the decomposition of the </w:t>
      </w:r>
      <w:r w:rsidR="006E1847">
        <w:rPr>
          <w:lang w:bidi="en-US"/>
        </w:rPr>
        <w:t xml:space="preserve">chemically-activated </w:t>
      </w:r>
      <w:r w:rsidR="00472B05">
        <w:rPr>
          <w:lang w:bidi="en-US"/>
        </w:rPr>
        <w:t>secondary ozonide</w:t>
      </w:r>
      <w:r w:rsidRPr="00913300">
        <w:rPr>
          <w:lang w:bidi="en-US"/>
        </w:rPr>
        <w:t xml:space="preserve"> back to reactants</w:t>
      </w:r>
      <w:r w:rsidR="007C17E7">
        <w:rPr>
          <w:lang w:bidi="en-US"/>
        </w:rPr>
        <w:t xml:space="preserve"> occurring in competition with its</w:t>
      </w:r>
      <w:r w:rsidRPr="00913300">
        <w:rPr>
          <w:lang w:bidi="en-US"/>
        </w:rPr>
        <w:t xml:space="preserve"> collisional </w:t>
      </w:r>
      <w:r w:rsidR="007C17E7">
        <w:rPr>
          <w:lang w:bidi="en-US"/>
        </w:rPr>
        <w:t>stabiliz</w:t>
      </w:r>
      <w:r w:rsidRPr="00913300">
        <w:rPr>
          <w:lang w:bidi="en-US"/>
        </w:rPr>
        <w:t>ation.</w:t>
      </w:r>
      <w:r w:rsidR="00472B05">
        <w:rPr>
          <w:lang w:bidi="en-US"/>
        </w:rPr>
        <w:t xml:space="preserve"> Decomposition </w:t>
      </w:r>
      <w:r w:rsidR="006E1847">
        <w:rPr>
          <w:lang w:bidi="en-US"/>
        </w:rPr>
        <w:t>via other routes (e.g. directly to CH</w:t>
      </w:r>
      <w:r w:rsidR="006E1847" w:rsidRPr="006E1847">
        <w:rPr>
          <w:vertAlign w:val="subscript"/>
          <w:lang w:bidi="en-US"/>
        </w:rPr>
        <w:t>3</w:t>
      </w:r>
      <w:r w:rsidR="006E1847">
        <w:rPr>
          <w:lang w:bidi="en-US"/>
        </w:rPr>
        <w:t>C(O)CH</w:t>
      </w:r>
      <w:r w:rsidR="006E1847" w:rsidRPr="006E1847">
        <w:rPr>
          <w:vertAlign w:val="subscript"/>
          <w:lang w:bidi="en-US"/>
        </w:rPr>
        <w:t>3</w:t>
      </w:r>
      <w:r w:rsidR="006E1847">
        <w:rPr>
          <w:lang w:bidi="en-US"/>
        </w:rPr>
        <w:t xml:space="preserve"> and SO</w:t>
      </w:r>
      <w:r w:rsidR="006E1847" w:rsidRPr="006E1847">
        <w:rPr>
          <w:vertAlign w:val="subscript"/>
          <w:lang w:bidi="en-US"/>
        </w:rPr>
        <w:t>3</w:t>
      </w:r>
      <w:r w:rsidR="006E1847">
        <w:rPr>
          <w:lang w:bidi="en-US"/>
        </w:rPr>
        <w:t xml:space="preserve">) </w:t>
      </w:r>
      <w:r w:rsidR="00472B05">
        <w:rPr>
          <w:lang w:bidi="en-US"/>
        </w:rPr>
        <w:t>may</w:t>
      </w:r>
      <w:r w:rsidR="006E1847">
        <w:rPr>
          <w:lang w:bidi="en-US"/>
        </w:rPr>
        <w:t xml:space="preserve"> also compete with</w:t>
      </w:r>
      <w:r w:rsidR="00472B05">
        <w:rPr>
          <w:lang w:bidi="en-US"/>
        </w:rPr>
        <w:t xml:space="preserve"> </w:t>
      </w:r>
      <w:r w:rsidR="006E1847" w:rsidRPr="00913300">
        <w:rPr>
          <w:lang w:bidi="en-US"/>
        </w:rPr>
        <w:t xml:space="preserve">collisional </w:t>
      </w:r>
      <w:r w:rsidR="006E1847">
        <w:rPr>
          <w:lang w:bidi="en-US"/>
        </w:rPr>
        <w:t>stabiliz</w:t>
      </w:r>
      <w:r w:rsidR="006E1847" w:rsidRPr="00913300">
        <w:rPr>
          <w:lang w:bidi="en-US"/>
        </w:rPr>
        <w:t>ation</w:t>
      </w:r>
      <w:r w:rsidR="006E1847">
        <w:rPr>
          <w:lang w:bidi="en-US"/>
        </w:rPr>
        <w:t xml:space="preserve">, although </w:t>
      </w:r>
      <w:r w:rsidR="007C17E7">
        <w:rPr>
          <w:lang w:bidi="en-US"/>
        </w:rPr>
        <w:t>stabiliz</w:t>
      </w:r>
      <w:r w:rsidRPr="00913300">
        <w:rPr>
          <w:lang w:bidi="en-US"/>
        </w:rPr>
        <w:t>ation is</w:t>
      </w:r>
      <w:r w:rsidR="006E1847">
        <w:rPr>
          <w:lang w:bidi="en-US"/>
        </w:rPr>
        <w:t xml:space="preserve"> calculated to be</w:t>
      </w:r>
      <w:r w:rsidRPr="00913300">
        <w:rPr>
          <w:lang w:bidi="en-US"/>
        </w:rPr>
        <w:t xml:space="preserve"> efficient</w:t>
      </w:r>
      <w:r w:rsidR="006E1847">
        <w:rPr>
          <w:lang w:bidi="en-US"/>
        </w:rPr>
        <w:t xml:space="preserve"> and dominant</w:t>
      </w:r>
      <w:r w:rsidR="007C17E7">
        <w:rPr>
          <w:lang w:bidi="en-US"/>
        </w:rPr>
        <w:t xml:space="preserve"> under atmospheric conditions</w:t>
      </w:r>
      <w:r w:rsidR="006E1847">
        <w:rPr>
          <w:lang w:bidi="en-US"/>
        </w:rPr>
        <w:t xml:space="preserve">. Further studies are required to characterize the reactions of the stabilized secondary ozonide, although the </w:t>
      </w:r>
      <w:r w:rsidR="009E1E9F">
        <w:rPr>
          <w:lang w:bidi="en-US"/>
        </w:rPr>
        <w:t>investigations</w:t>
      </w:r>
      <w:r w:rsidR="006E1847">
        <w:rPr>
          <w:lang w:bidi="en-US"/>
        </w:rPr>
        <w:t xml:space="preserve"> of the </w:t>
      </w:r>
      <w:proofErr w:type="spellStart"/>
      <w:r w:rsidR="006E1847" w:rsidRPr="00913300">
        <w:rPr>
          <w:lang w:bidi="en-US"/>
        </w:rPr>
        <w:t>ozonolysis</w:t>
      </w:r>
      <w:proofErr w:type="spellEnd"/>
      <w:r w:rsidR="006E1847" w:rsidRPr="00913300">
        <w:rPr>
          <w:lang w:bidi="en-US"/>
        </w:rPr>
        <w:t xml:space="preserve"> of </w:t>
      </w:r>
      <w:r w:rsidR="006E1847">
        <w:rPr>
          <w:lang w:bidi="en-US"/>
        </w:rPr>
        <w:t>2,2-dimethyl-but-2-ene at atmospheric pressure</w:t>
      </w:r>
      <w:r w:rsidR="008351C1">
        <w:rPr>
          <w:lang w:bidi="en-US"/>
        </w:rPr>
        <w:t xml:space="preserve"> (e.g. </w:t>
      </w:r>
      <w:r w:rsidR="008351C1" w:rsidRPr="00913300">
        <w:rPr>
          <w:lang w:bidi="en-US"/>
        </w:rPr>
        <w:t>Berndt et al., 2014</w:t>
      </w:r>
      <w:r w:rsidR="008351C1">
        <w:rPr>
          <w:lang w:bidi="en-US"/>
        </w:rPr>
        <w:t xml:space="preserve">; </w:t>
      </w:r>
      <w:r w:rsidR="008351C1" w:rsidRPr="00913300">
        <w:rPr>
          <w:lang w:bidi="en-US"/>
        </w:rPr>
        <w:t>Newland et al</w:t>
      </w:r>
      <w:r w:rsidR="008351C1">
        <w:rPr>
          <w:lang w:bidi="en-US"/>
        </w:rPr>
        <w:t>.</w:t>
      </w:r>
      <w:r w:rsidR="008351C1" w:rsidRPr="00913300">
        <w:rPr>
          <w:lang w:bidi="en-US"/>
        </w:rPr>
        <w:t xml:space="preserve">, </w:t>
      </w:r>
      <w:r w:rsidR="008351C1" w:rsidRPr="00913300">
        <w:rPr>
          <w:lang w:bidi="en-US"/>
        </w:rPr>
        <w:lastRenderedPageBreak/>
        <w:t>201</w:t>
      </w:r>
      <w:r w:rsidR="008351C1">
        <w:rPr>
          <w:lang w:bidi="en-US"/>
        </w:rPr>
        <w:t xml:space="preserve">5) </w:t>
      </w:r>
      <w:r w:rsidR="006E1847">
        <w:rPr>
          <w:lang w:bidi="en-US"/>
        </w:rPr>
        <w:t>suggest that this must also form CH</w:t>
      </w:r>
      <w:r w:rsidR="006E1847" w:rsidRPr="006E1847">
        <w:rPr>
          <w:vertAlign w:val="subscript"/>
          <w:lang w:bidi="en-US"/>
        </w:rPr>
        <w:t>3</w:t>
      </w:r>
      <w:r w:rsidR="006E1847">
        <w:rPr>
          <w:lang w:bidi="en-US"/>
        </w:rPr>
        <w:t>C(O)CH</w:t>
      </w:r>
      <w:r w:rsidR="006E1847" w:rsidRPr="006E1847">
        <w:rPr>
          <w:vertAlign w:val="subscript"/>
          <w:lang w:bidi="en-US"/>
        </w:rPr>
        <w:t>3</w:t>
      </w:r>
      <w:r w:rsidR="006E1847">
        <w:rPr>
          <w:lang w:bidi="en-US"/>
        </w:rPr>
        <w:t xml:space="preserve"> and SO</w:t>
      </w:r>
      <w:r w:rsidR="006E1847" w:rsidRPr="006E1847">
        <w:rPr>
          <w:vertAlign w:val="subscript"/>
          <w:lang w:bidi="en-US"/>
        </w:rPr>
        <w:t>3</w:t>
      </w:r>
      <w:r w:rsidR="006E1847">
        <w:rPr>
          <w:lang w:bidi="en-US"/>
        </w:rPr>
        <w:t>, at least partially.</w:t>
      </w:r>
      <w:r w:rsidR="00F72A3E">
        <w:rPr>
          <w:lang w:bidi="en-US"/>
        </w:rPr>
        <w:t xml:space="preserve"> </w:t>
      </w:r>
      <w:proofErr w:type="spellStart"/>
      <w:r w:rsidR="00F72A3E">
        <w:rPr>
          <w:lang w:bidi="en-US"/>
        </w:rPr>
        <w:t>Veereecken</w:t>
      </w:r>
      <w:proofErr w:type="spellEnd"/>
      <w:r w:rsidR="00F72A3E">
        <w:rPr>
          <w:lang w:bidi="en-US"/>
        </w:rPr>
        <w:t xml:space="preserve"> et al. (2012) speculated that water-</w:t>
      </w:r>
      <w:proofErr w:type="spellStart"/>
      <w:r w:rsidR="00F72A3E">
        <w:rPr>
          <w:lang w:bidi="en-US"/>
        </w:rPr>
        <w:t>catalysed</w:t>
      </w:r>
      <w:proofErr w:type="spellEnd"/>
      <w:r w:rsidR="00F72A3E">
        <w:rPr>
          <w:lang w:bidi="en-US"/>
        </w:rPr>
        <w:t xml:space="preserve"> conversion of the longer-lived stabilized secondary ozonide into </w:t>
      </w:r>
      <w:r w:rsidR="00235425">
        <w:rPr>
          <w:lang w:bidi="en-US"/>
        </w:rPr>
        <w:t>methyl acetate (</w:t>
      </w:r>
      <w:r w:rsidR="00F72A3E">
        <w:rPr>
          <w:lang w:bidi="en-US"/>
        </w:rPr>
        <w:t>CH</w:t>
      </w:r>
      <w:r w:rsidR="00F72A3E" w:rsidRPr="00F72A3E">
        <w:rPr>
          <w:vertAlign w:val="subscript"/>
          <w:lang w:bidi="en-US"/>
        </w:rPr>
        <w:t>3</w:t>
      </w:r>
      <w:r w:rsidR="00F72A3E">
        <w:rPr>
          <w:lang w:bidi="en-US"/>
        </w:rPr>
        <w:t>C(O)OCH</w:t>
      </w:r>
      <w:r w:rsidR="00F72A3E" w:rsidRPr="00F72A3E">
        <w:rPr>
          <w:vertAlign w:val="subscript"/>
          <w:lang w:bidi="en-US"/>
        </w:rPr>
        <w:t>3</w:t>
      </w:r>
      <w:r w:rsidR="00235425">
        <w:rPr>
          <w:lang w:bidi="en-US"/>
        </w:rPr>
        <w:t xml:space="preserve">) </w:t>
      </w:r>
      <w:r w:rsidR="00F72A3E">
        <w:rPr>
          <w:lang w:bidi="en-US"/>
        </w:rPr>
        <w:t>+ SO</w:t>
      </w:r>
      <w:r w:rsidR="00F72A3E" w:rsidRPr="00F72A3E">
        <w:rPr>
          <w:vertAlign w:val="subscript"/>
          <w:lang w:bidi="en-US"/>
        </w:rPr>
        <w:t>2</w:t>
      </w:r>
      <w:r w:rsidR="00F72A3E">
        <w:rPr>
          <w:lang w:bidi="en-US"/>
        </w:rPr>
        <w:t xml:space="preserve"> might also be accessible, although further work is clearly required to confirm this. </w:t>
      </w:r>
      <w:r w:rsidR="006E1847">
        <w:rPr>
          <w:lang w:bidi="en-US"/>
        </w:rPr>
        <w:t>At present, we make no firm recommendations for product channel contributions, and await u</w:t>
      </w:r>
      <w:r w:rsidR="006E1847" w:rsidRPr="000B1E91">
        <w:rPr>
          <w:rFonts w:cs="AdvOTd369e91e"/>
          <w:szCs w:val="24"/>
        </w:rPr>
        <w:t xml:space="preserve">ntil </w:t>
      </w:r>
      <w:r w:rsidR="006E1847">
        <w:rPr>
          <w:rFonts w:cs="AdvOTd369e91e"/>
          <w:szCs w:val="24"/>
        </w:rPr>
        <w:t xml:space="preserve">additional theoretical and quantitative </w:t>
      </w:r>
      <w:r w:rsidR="006E1847" w:rsidRPr="000B1E91">
        <w:rPr>
          <w:rFonts w:cs="AdvOTd369e91e"/>
          <w:szCs w:val="24"/>
        </w:rPr>
        <w:t xml:space="preserve">experimental </w:t>
      </w:r>
      <w:r w:rsidR="006E1847">
        <w:rPr>
          <w:rFonts w:cs="AdvOTd369e91e"/>
          <w:szCs w:val="24"/>
        </w:rPr>
        <w:t xml:space="preserve">product channel </w:t>
      </w:r>
      <w:r w:rsidR="006E1847" w:rsidRPr="000B1E91">
        <w:rPr>
          <w:rFonts w:cs="AdvOTd369e91e"/>
          <w:szCs w:val="24"/>
        </w:rPr>
        <w:t>data</w:t>
      </w:r>
      <w:r w:rsidR="006E1847" w:rsidRPr="000B1E91">
        <w:rPr>
          <w:szCs w:val="24"/>
        </w:rPr>
        <w:t>.</w:t>
      </w:r>
    </w:p>
    <w:p w14:paraId="79B1A873" w14:textId="77777777" w:rsidR="00945495" w:rsidRDefault="00945495" w:rsidP="00945495">
      <w:pPr>
        <w:tabs>
          <w:tab w:val="left" w:pos="-1440"/>
          <w:tab w:val="left" w:pos="-720"/>
          <w:tab w:val="left" w:pos="444"/>
        </w:tabs>
        <w:ind w:firstLine="444"/>
        <w:jc w:val="both"/>
      </w:pPr>
    </w:p>
    <w:p w14:paraId="2F984B2D" w14:textId="77777777" w:rsidR="00945495" w:rsidRDefault="00945495" w:rsidP="00945495">
      <w:pPr>
        <w:jc w:val="center"/>
        <w:rPr>
          <w:b/>
          <w:bCs/>
        </w:rPr>
      </w:pPr>
      <w:r>
        <w:rPr>
          <w:b/>
          <w:bCs/>
        </w:rPr>
        <w:t>References</w:t>
      </w:r>
    </w:p>
    <w:p w14:paraId="0088C50F" w14:textId="77777777" w:rsidR="00925059" w:rsidRDefault="00925059" w:rsidP="00945495">
      <w:pPr>
        <w:jc w:val="center"/>
      </w:pPr>
    </w:p>
    <w:p w14:paraId="19FC7D69" w14:textId="77777777" w:rsidR="00B32805" w:rsidRDefault="00B32805" w:rsidP="004D12C9">
      <w:pPr>
        <w:tabs>
          <w:tab w:val="center" w:pos="4680"/>
        </w:tabs>
        <w:ind w:left="289" w:hanging="289"/>
        <w:jc w:val="both"/>
        <w:rPr>
          <w:color w:val="auto"/>
          <w:szCs w:val="24"/>
        </w:rPr>
      </w:pPr>
      <w:r w:rsidRPr="00C730A2">
        <w:rPr>
          <w:color w:val="auto"/>
          <w:szCs w:val="24"/>
        </w:rPr>
        <w:t>Berndt</w:t>
      </w:r>
      <w:r>
        <w:rPr>
          <w:color w:val="auto"/>
          <w:szCs w:val="24"/>
        </w:rPr>
        <w:t xml:space="preserve">, T., </w:t>
      </w:r>
      <w:r w:rsidRPr="00C730A2">
        <w:rPr>
          <w:color w:val="auto"/>
          <w:szCs w:val="24"/>
        </w:rPr>
        <w:t>Jokinen</w:t>
      </w:r>
      <w:r>
        <w:rPr>
          <w:color w:val="auto"/>
          <w:szCs w:val="24"/>
        </w:rPr>
        <w:t xml:space="preserve">, T., </w:t>
      </w:r>
      <w:proofErr w:type="spellStart"/>
      <w:r w:rsidRPr="00C730A2">
        <w:rPr>
          <w:color w:val="auto"/>
          <w:szCs w:val="24"/>
        </w:rPr>
        <w:t>Sipilä</w:t>
      </w:r>
      <w:proofErr w:type="spellEnd"/>
      <w:r>
        <w:rPr>
          <w:color w:val="auto"/>
          <w:szCs w:val="24"/>
        </w:rPr>
        <w:t xml:space="preserve">, M., </w:t>
      </w:r>
      <w:r w:rsidRPr="00C730A2">
        <w:rPr>
          <w:color w:val="auto"/>
          <w:szCs w:val="24"/>
        </w:rPr>
        <w:t>Mauldin</w:t>
      </w:r>
      <w:r>
        <w:rPr>
          <w:color w:val="auto"/>
          <w:szCs w:val="24"/>
        </w:rPr>
        <w:t xml:space="preserve">, R. L., </w:t>
      </w:r>
      <w:r w:rsidRPr="00C730A2">
        <w:rPr>
          <w:color w:val="auto"/>
          <w:szCs w:val="24"/>
        </w:rPr>
        <w:t>Herrmann</w:t>
      </w:r>
      <w:r>
        <w:rPr>
          <w:color w:val="auto"/>
          <w:szCs w:val="24"/>
        </w:rPr>
        <w:t>, H.</w:t>
      </w:r>
      <w:r w:rsidRPr="00C730A2">
        <w:rPr>
          <w:color w:val="auto"/>
          <w:szCs w:val="24"/>
        </w:rPr>
        <w:t xml:space="preserve">, </w:t>
      </w:r>
      <w:proofErr w:type="spellStart"/>
      <w:r w:rsidRPr="00C730A2">
        <w:rPr>
          <w:color w:val="auto"/>
          <w:szCs w:val="24"/>
        </w:rPr>
        <w:t>Stratmann</w:t>
      </w:r>
      <w:proofErr w:type="spellEnd"/>
      <w:r>
        <w:rPr>
          <w:color w:val="auto"/>
          <w:szCs w:val="24"/>
        </w:rPr>
        <w:t xml:space="preserve">, F., </w:t>
      </w:r>
      <w:proofErr w:type="spellStart"/>
      <w:r w:rsidRPr="00C730A2">
        <w:rPr>
          <w:color w:val="auto"/>
          <w:szCs w:val="24"/>
        </w:rPr>
        <w:t>Junninen</w:t>
      </w:r>
      <w:proofErr w:type="spellEnd"/>
      <w:r>
        <w:rPr>
          <w:color w:val="auto"/>
          <w:szCs w:val="24"/>
        </w:rPr>
        <w:t xml:space="preserve">, H. and </w:t>
      </w:r>
      <w:proofErr w:type="spellStart"/>
      <w:r w:rsidRPr="00C730A2">
        <w:rPr>
          <w:color w:val="auto"/>
          <w:szCs w:val="24"/>
        </w:rPr>
        <w:t>Kulmala</w:t>
      </w:r>
      <w:proofErr w:type="spellEnd"/>
      <w:r>
        <w:rPr>
          <w:color w:val="auto"/>
          <w:szCs w:val="24"/>
        </w:rPr>
        <w:t xml:space="preserve">, M.: </w:t>
      </w:r>
      <w:r w:rsidRPr="00CC6651">
        <w:rPr>
          <w:color w:val="auto"/>
          <w:szCs w:val="24"/>
        </w:rPr>
        <w:t>Atmos</w:t>
      </w:r>
      <w:r>
        <w:rPr>
          <w:color w:val="auto"/>
          <w:szCs w:val="24"/>
        </w:rPr>
        <w:t>.</w:t>
      </w:r>
      <w:r w:rsidRPr="00CC6651">
        <w:rPr>
          <w:color w:val="auto"/>
          <w:szCs w:val="24"/>
        </w:rPr>
        <w:t xml:space="preserve"> Environ</w:t>
      </w:r>
      <w:r>
        <w:rPr>
          <w:color w:val="auto"/>
          <w:szCs w:val="24"/>
        </w:rPr>
        <w:t xml:space="preserve">., </w:t>
      </w:r>
      <w:r w:rsidRPr="00CC6651">
        <w:rPr>
          <w:color w:val="auto"/>
          <w:szCs w:val="24"/>
        </w:rPr>
        <w:t>89</w:t>
      </w:r>
      <w:r>
        <w:rPr>
          <w:color w:val="auto"/>
          <w:szCs w:val="24"/>
        </w:rPr>
        <w:t>, 603, 2014.</w:t>
      </w:r>
    </w:p>
    <w:p w14:paraId="0663D807" w14:textId="77777777" w:rsidR="00B32805" w:rsidRDefault="007C17E7" w:rsidP="004D12C9">
      <w:pPr>
        <w:widowControl w:val="0"/>
        <w:ind w:left="289" w:hanging="289"/>
        <w:jc w:val="both"/>
      </w:pPr>
      <w:r w:rsidRPr="004947B1">
        <w:t xml:space="preserve">Chhantyal-Pun, </w:t>
      </w:r>
      <w:r>
        <w:t>R.,</w:t>
      </w:r>
      <w:r w:rsidRPr="004947B1">
        <w:t xml:space="preserve"> </w:t>
      </w:r>
      <w:proofErr w:type="spellStart"/>
      <w:r w:rsidRPr="004947B1">
        <w:t>Welz</w:t>
      </w:r>
      <w:proofErr w:type="spellEnd"/>
      <w:r w:rsidRPr="004947B1">
        <w:t>,</w:t>
      </w:r>
      <w:r>
        <w:t xml:space="preserve"> O.,</w:t>
      </w:r>
      <w:r w:rsidRPr="004947B1">
        <w:t xml:space="preserve"> </w:t>
      </w:r>
      <w:proofErr w:type="spellStart"/>
      <w:r w:rsidRPr="004947B1">
        <w:t>Savee</w:t>
      </w:r>
      <w:proofErr w:type="spellEnd"/>
      <w:r w:rsidRPr="004947B1">
        <w:t xml:space="preserve"> J</w:t>
      </w:r>
      <w:r>
        <w:t>.</w:t>
      </w:r>
      <w:r w:rsidRPr="004947B1">
        <w:t xml:space="preserve"> D.</w:t>
      </w:r>
      <w:r>
        <w:t>,</w:t>
      </w:r>
      <w:r w:rsidRPr="004947B1">
        <w:t xml:space="preserve"> </w:t>
      </w:r>
      <w:proofErr w:type="spellStart"/>
      <w:r w:rsidRPr="004947B1">
        <w:t>Eskola</w:t>
      </w:r>
      <w:proofErr w:type="spellEnd"/>
      <w:r>
        <w:t>,</w:t>
      </w:r>
      <w:r w:rsidRPr="004947B1">
        <w:t xml:space="preserve"> </w:t>
      </w:r>
      <w:r>
        <w:t>A.</w:t>
      </w:r>
      <w:r w:rsidRPr="004947B1">
        <w:t xml:space="preserve"> J.</w:t>
      </w:r>
      <w:r>
        <w:t>,</w:t>
      </w:r>
      <w:r w:rsidRPr="004947B1">
        <w:t xml:space="preserve"> Lee</w:t>
      </w:r>
      <w:r>
        <w:t>,</w:t>
      </w:r>
      <w:r w:rsidRPr="004947B1">
        <w:t xml:space="preserve"> E</w:t>
      </w:r>
      <w:r>
        <w:t>.</w:t>
      </w:r>
      <w:r w:rsidRPr="004947B1">
        <w:t xml:space="preserve"> P. F.</w:t>
      </w:r>
      <w:r>
        <w:t xml:space="preserve">, </w:t>
      </w:r>
      <w:r w:rsidRPr="004947B1">
        <w:t>Blacker,</w:t>
      </w:r>
      <w:r>
        <w:t xml:space="preserve"> L., </w:t>
      </w:r>
      <w:r w:rsidRPr="004947B1">
        <w:t>Hill,</w:t>
      </w:r>
      <w:r>
        <w:t xml:space="preserve"> </w:t>
      </w:r>
      <w:r w:rsidRPr="004947B1">
        <w:t>H</w:t>
      </w:r>
      <w:r>
        <w:t>.</w:t>
      </w:r>
      <w:r w:rsidRPr="004947B1">
        <w:t xml:space="preserve"> R.</w:t>
      </w:r>
      <w:r>
        <w:t>,</w:t>
      </w:r>
      <w:r w:rsidRPr="004947B1">
        <w:t xml:space="preserve"> Ashcroft,</w:t>
      </w:r>
      <w:r>
        <w:t xml:space="preserve"> </w:t>
      </w:r>
      <w:r w:rsidRPr="004947B1">
        <w:t>M</w:t>
      </w:r>
      <w:r>
        <w:t>.,</w:t>
      </w:r>
      <w:r w:rsidRPr="004947B1">
        <w:t xml:space="preserve"> Khan,</w:t>
      </w:r>
      <w:r>
        <w:t xml:space="preserve"> M. </w:t>
      </w:r>
      <w:r w:rsidRPr="004947B1">
        <w:t>A</w:t>
      </w:r>
      <w:r>
        <w:t>.</w:t>
      </w:r>
      <w:r w:rsidRPr="004947B1">
        <w:t xml:space="preserve"> H.</w:t>
      </w:r>
      <w:r>
        <w:t>,</w:t>
      </w:r>
      <w:r w:rsidRPr="004947B1">
        <w:t xml:space="preserve"> Lloyd-Jones</w:t>
      </w:r>
      <w:r>
        <w:t>,</w:t>
      </w:r>
      <w:r w:rsidRPr="004947B1">
        <w:t xml:space="preserve"> G</w:t>
      </w:r>
      <w:r>
        <w:t>.</w:t>
      </w:r>
      <w:r w:rsidRPr="004947B1">
        <w:t xml:space="preserve"> C., Evans</w:t>
      </w:r>
      <w:r>
        <w:t xml:space="preserve">, </w:t>
      </w:r>
      <w:r w:rsidRPr="004947B1">
        <w:t>L</w:t>
      </w:r>
      <w:r>
        <w:t>.,</w:t>
      </w:r>
      <w:r w:rsidRPr="004947B1">
        <w:t xml:space="preserve"> </w:t>
      </w:r>
      <w:proofErr w:type="spellStart"/>
      <w:r w:rsidRPr="004947B1">
        <w:t>Rotavera</w:t>
      </w:r>
      <w:proofErr w:type="spellEnd"/>
      <w:r>
        <w:t>,</w:t>
      </w:r>
      <w:r w:rsidRPr="004947B1">
        <w:t xml:space="preserve"> B</w:t>
      </w:r>
      <w:r>
        <w:t>.,</w:t>
      </w:r>
      <w:r w:rsidRPr="004947B1">
        <w:t xml:space="preserve"> </w:t>
      </w:r>
      <w:proofErr w:type="spellStart"/>
      <w:r w:rsidRPr="004947B1">
        <w:t>Rotavera</w:t>
      </w:r>
      <w:proofErr w:type="spellEnd"/>
      <w:r w:rsidRPr="004947B1">
        <w:t xml:space="preserve"> H</w:t>
      </w:r>
      <w:r>
        <w:t>.,</w:t>
      </w:r>
      <w:r w:rsidRPr="004947B1">
        <w:t xml:space="preserve"> </w:t>
      </w:r>
      <w:r>
        <w:t xml:space="preserve">Osborn, </w:t>
      </w:r>
      <w:r w:rsidRPr="004947B1">
        <w:t>D</w:t>
      </w:r>
      <w:r>
        <w:t>.</w:t>
      </w:r>
      <w:r w:rsidRPr="004947B1">
        <w:t xml:space="preserve"> L.</w:t>
      </w:r>
      <w:r>
        <w:t>,</w:t>
      </w:r>
      <w:r w:rsidRPr="004947B1">
        <w:t xml:space="preserve"> </w:t>
      </w:r>
      <w:proofErr w:type="spellStart"/>
      <w:r w:rsidRPr="004947B1">
        <w:t>Mok</w:t>
      </w:r>
      <w:proofErr w:type="spellEnd"/>
      <w:r>
        <w:t>,</w:t>
      </w:r>
      <w:r w:rsidRPr="004947B1">
        <w:t xml:space="preserve"> D</w:t>
      </w:r>
      <w:r>
        <w:t xml:space="preserve">. </w:t>
      </w:r>
      <w:r w:rsidRPr="004947B1">
        <w:t>K. W., Dyke</w:t>
      </w:r>
      <w:r>
        <w:t>,</w:t>
      </w:r>
      <w:r w:rsidRPr="004947B1">
        <w:t xml:space="preserve"> </w:t>
      </w:r>
      <w:r>
        <w:t>J.</w:t>
      </w:r>
      <w:r w:rsidRPr="004947B1">
        <w:t xml:space="preserve"> M., </w:t>
      </w:r>
      <w:r>
        <w:t>Shallcross, D. E.,</w:t>
      </w:r>
      <w:r w:rsidRPr="004947B1">
        <w:t xml:space="preserve"> Percival</w:t>
      </w:r>
      <w:r>
        <w:t>,</w:t>
      </w:r>
      <w:r w:rsidRPr="004947B1">
        <w:t xml:space="preserve"> C</w:t>
      </w:r>
      <w:r>
        <w:t>.</w:t>
      </w:r>
      <w:r w:rsidRPr="004947B1">
        <w:t xml:space="preserve"> J., Orr-Ewing</w:t>
      </w:r>
      <w:r>
        <w:t>,</w:t>
      </w:r>
      <w:r w:rsidRPr="004947B1">
        <w:t xml:space="preserve"> A</w:t>
      </w:r>
      <w:r>
        <w:t>.</w:t>
      </w:r>
      <w:r w:rsidRPr="004947B1">
        <w:t xml:space="preserve"> J. and </w:t>
      </w:r>
      <w:proofErr w:type="spellStart"/>
      <w:r w:rsidRPr="004947B1">
        <w:t>Taatjes</w:t>
      </w:r>
      <w:proofErr w:type="spellEnd"/>
      <w:r>
        <w:t>,</w:t>
      </w:r>
      <w:r w:rsidRPr="004947B1">
        <w:t xml:space="preserve"> C</w:t>
      </w:r>
      <w:r>
        <w:t>. A.:</w:t>
      </w:r>
      <w:r w:rsidR="00B32805">
        <w:t xml:space="preserve"> </w:t>
      </w:r>
      <w:r>
        <w:t xml:space="preserve">J. Phys. Chem. A, 121, 4, </w:t>
      </w:r>
      <w:r w:rsidRPr="007C17E7">
        <w:t>https://doi.org/10.1021/acs.jpca.6b07810</w:t>
      </w:r>
      <w:r>
        <w:t xml:space="preserve">, </w:t>
      </w:r>
      <w:r w:rsidRPr="004947B1">
        <w:t>2017</w:t>
      </w:r>
      <w:r w:rsidR="00B32805">
        <w:t>.</w:t>
      </w:r>
    </w:p>
    <w:p w14:paraId="3F6329F8" w14:textId="77777777" w:rsidR="007A2AFA" w:rsidRDefault="00B32805" w:rsidP="004D12C9">
      <w:pPr>
        <w:widowControl w:val="0"/>
        <w:ind w:left="289" w:hanging="289"/>
        <w:jc w:val="both"/>
        <w:rPr>
          <w:lang w:val="de-DE"/>
        </w:rPr>
      </w:pPr>
      <w:r>
        <w:t xml:space="preserve">Huang, H.-L., Chao, W. and Lin, J. J.-M.: Proc. Natl. Acad. Sci., 112(35), 10857, </w:t>
      </w:r>
      <w:proofErr w:type="spellStart"/>
      <w:r>
        <w:t>doi</w:t>
      </w:r>
      <w:proofErr w:type="spellEnd"/>
      <w:r>
        <w:t>: 10.1073/pnas.1513149112, 2015.</w:t>
      </w:r>
    </w:p>
    <w:p w14:paraId="5A4DF1BC" w14:textId="77777777" w:rsidR="007C17E7" w:rsidRDefault="00B32805" w:rsidP="004D12C9">
      <w:pPr>
        <w:tabs>
          <w:tab w:val="center" w:pos="4680"/>
        </w:tabs>
        <w:ind w:left="289" w:hanging="289"/>
        <w:jc w:val="both"/>
        <w:rPr>
          <w:color w:val="auto"/>
          <w:szCs w:val="24"/>
        </w:rPr>
      </w:pPr>
      <w:r w:rsidRPr="00B32805">
        <w:rPr>
          <w:color w:val="auto"/>
          <w:szCs w:val="24"/>
        </w:rPr>
        <w:t xml:space="preserve">Smith, </w:t>
      </w:r>
      <w:r>
        <w:rPr>
          <w:color w:val="auto"/>
          <w:szCs w:val="24"/>
        </w:rPr>
        <w:t>M.</w:t>
      </w:r>
      <w:r w:rsidRPr="00B32805">
        <w:rPr>
          <w:color w:val="auto"/>
          <w:szCs w:val="24"/>
        </w:rPr>
        <w:t xml:space="preserve"> C., Chao, W</w:t>
      </w:r>
      <w:r>
        <w:rPr>
          <w:color w:val="auto"/>
          <w:szCs w:val="24"/>
        </w:rPr>
        <w:t>.</w:t>
      </w:r>
      <w:r w:rsidRPr="00B32805">
        <w:rPr>
          <w:color w:val="auto"/>
          <w:szCs w:val="24"/>
        </w:rPr>
        <w:t>, Takahashi, K</w:t>
      </w:r>
      <w:r>
        <w:rPr>
          <w:color w:val="auto"/>
          <w:szCs w:val="24"/>
        </w:rPr>
        <w:t>.</w:t>
      </w:r>
      <w:r w:rsidRPr="00B32805">
        <w:rPr>
          <w:color w:val="auto"/>
          <w:szCs w:val="24"/>
        </w:rPr>
        <w:t xml:space="preserve">, </w:t>
      </w:r>
      <w:proofErr w:type="spellStart"/>
      <w:r w:rsidRPr="00B32805">
        <w:rPr>
          <w:color w:val="auto"/>
          <w:szCs w:val="24"/>
        </w:rPr>
        <w:t>Boering</w:t>
      </w:r>
      <w:proofErr w:type="spellEnd"/>
      <w:r w:rsidRPr="00B32805">
        <w:rPr>
          <w:color w:val="auto"/>
          <w:szCs w:val="24"/>
        </w:rPr>
        <w:t>, K</w:t>
      </w:r>
      <w:r>
        <w:rPr>
          <w:color w:val="auto"/>
          <w:szCs w:val="24"/>
        </w:rPr>
        <w:t>.</w:t>
      </w:r>
      <w:r w:rsidRPr="00B32805">
        <w:rPr>
          <w:color w:val="auto"/>
          <w:szCs w:val="24"/>
        </w:rPr>
        <w:t xml:space="preserve"> A. and </w:t>
      </w:r>
      <w:r>
        <w:t>J. J.-M.:</w:t>
      </w:r>
      <w:r w:rsidRPr="00B32805">
        <w:rPr>
          <w:color w:val="auto"/>
          <w:szCs w:val="24"/>
        </w:rPr>
        <w:t xml:space="preserve"> J. Phys. Chem. A, 120(27), 4789, 2016</w:t>
      </w:r>
      <w:r>
        <w:rPr>
          <w:color w:val="auto"/>
          <w:szCs w:val="24"/>
        </w:rPr>
        <w:t>.</w:t>
      </w:r>
    </w:p>
    <w:p w14:paraId="7B3FAB56" w14:textId="77777777" w:rsidR="00CC6651" w:rsidRDefault="00C730A2" w:rsidP="004D12C9">
      <w:pPr>
        <w:tabs>
          <w:tab w:val="center" w:pos="4680"/>
        </w:tabs>
        <w:ind w:left="289" w:hanging="289"/>
        <w:jc w:val="both"/>
        <w:rPr>
          <w:color w:val="auto"/>
          <w:szCs w:val="24"/>
        </w:rPr>
      </w:pPr>
      <w:r w:rsidRPr="00C730A2">
        <w:rPr>
          <w:color w:val="auto"/>
          <w:szCs w:val="24"/>
        </w:rPr>
        <w:t>Newland, M. J., Rickard, A. R.</w:t>
      </w:r>
      <w:r w:rsidR="00180A4F">
        <w:rPr>
          <w:color w:val="auto"/>
          <w:szCs w:val="24"/>
        </w:rPr>
        <w:t>,</w:t>
      </w:r>
      <w:r w:rsidRPr="00C730A2">
        <w:rPr>
          <w:color w:val="auto"/>
          <w:szCs w:val="24"/>
        </w:rPr>
        <w:t xml:space="preserve"> </w:t>
      </w:r>
      <w:proofErr w:type="spellStart"/>
      <w:r w:rsidRPr="00C730A2">
        <w:rPr>
          <w:color w:val="auto"/>
          <w:szCs w:val="24"/>
        </w:rPr>
        <w:t>Alam</w:t>
      </w:r>
      <w:proofErr w:type="spellEnd"/>
      <w:r w:rsidRPr="00C730A2">
        <w:rPr>
          <w:color w:val="auto"/>
          <w:szCs w:val="24"/>
        </w:rPr>
        <w:t>, M. S.</w:t>
      </w:r>
      <w:r w:rsidR="00180A4F">
        <w:rPr>
          <w:color w:val="auto"/>
          <w:szCs w:val="24"/>
        </w:rPr>
        <w:t>,</w:t>
      </w:r>
      <w:r w:rsidRPr="00C730A2">
        <w:rPr>
          <w:color w:val="auto"/>
          <w:szCs w:val="24"/>
        </w:rPr>
        <w:t xml:space="preserve"> Vereecken, L., Muñoz, A.</w:t>
      </w:r>
      <w:r w:rsidR="00180A4F">
        <w:rPr>
          <w:color w:val="auto"/>
          <w:szCs w:val="24"/>
        </w:rPr>
        <w:t>,</w:t>
      </w:r>
      <w:r w:rsidRPr="00C730A2">
        <w:rPr>
          <w:color w:val="auto"/>
          <w:szCs w:val="24"/>
        </w:rPr>
        <w:t xml:space="preserve"> </w:t>
      </w:r>
      <w:proofErr w:type="spellStart"/>
      <w:r w:rsidRPr="00C730A2">
        <w:rPr>
          <w:color w:val="auto"/>
          <w:szCs w:val="24"/>
        </w:rPr>
        <w:t>Rod́enas</w:t>
      </w:r>
      <w:proofErr w:type="spellEnd"/>
      <w:r w:rsidRPr="00C730A2">
        <w:rPr>
          <w:color w:val="auto"/>
          <w:szCs w:val="24"/>
        </w:rPr>
        <w:t>,</w:t>
      </w:r>
      <w:r w:rsidR="00180A4F">
        <w:rPr>
          <w:color w:val="auto"/>
          <w:szCs w:val="24"/>
        </w:rPr>
        <w:t xml:space="preserve"> </w:t>
      </w:r>
      <w:r w:rsidRPr="00C730A2">
        <w:rPr>
          <w:color w:val="auto"/>
          <w:szCs w:val="24"/>
        </w:rPr>
        <w:t>M.</w:t>
      </w:r>
      <w:r w:rsidR="00180A4F">
        <w:rPr>
          <w:color w:val="auto"/>
          <w:szCs w:val="24"/>
        </w:rPr>
        <w:t xml:space="preserve"> and</w:t>
      </w:r>
      <w:r w:rsidRPr="00C730A2">
        <w:rPr>
          <w:color w:val="auto"/>
          <w:szCs w:val="24"/>
        </w:rPr>
        <w:t xml:space="preserve"> </w:t>
      </w:r>
      <w:proofErr w:type="spellStart"/>
      <w:r w:rsidRPr="00C730A2">
        <w:rPr>
          <w:color w:val="auto"/>
          <w:szCs w:val="24"/>
        </w:rPr>
        <w:t>Bloss</w:t>
      </w:r>
      <w:proofErr w:type="spellEnd"/>
      <w:r w:rsidRPr="00C730A2">
        <w:rPr>
          <w:color w:val="auto"/>
          <w:szCs w:val="24"/>
        </w:rPr>
        <w:t>, W. J.</w:t>
      </w:r>
      <w:r w:rsidR="00180A4F">
        <w:rPr>
          <w:color w:val="auto"/>
          <w:szCs w:val="24"/>
        </w:rPr>
        <w:t>:</w:t>
      </w:r>
      <w:r w:rsidRPr="00C730A2">
        <w:rPr>
          <w:color w:val="auto"/>
          <w:szCs w:val="24"/>
        </w:rPr>
        <w:t xml:space="preserve"> Phys. Chem. Chem. Phys., 17, 4076</w:t>
      </w:r>
      <w:r w:rsidR="00180A4F">
        <w:rPr>
          <w:color w:val="auto"/>
          <w:szCs w:val="24"/>
        </w:rPr>
        <w:t xml:space="preserve">, </w:t>
      </w:r>
      <w:r w:rsidR="00180A4F" w:rsidRPr="00C730A2">
        <w:rPr>
          <w:color w:val="auto"/>
          <w:szCs w:val="24"/>
        </w:rPr>
        <w:t>2015</w:t>
      </w:r>
      <w:r w:rsidR="00180A4F">
        <w:rPr>
          <w:color w:val="auto"/>
          <w:szCs w:val="24"/>
        </w:rPr>
        <w:t>.</w:t>
      </w:r>
    </w:p>
    <w:p w14:paraId="549CED9D" w14:textId="77777777" w:rsidR="00E40E46" w:rsidRDefault="00065255" w:rsidP="004D12C9">
      <w:pPr>
        <w:tabs>
          <w:tab w:val="center" w:pos="4680"/>
        </w:tabs>
        <w:ind w:left="289" w:hanging="289"/>
        <w:jc w:val="both"/>
        <w:rPr>
          <w:color w:val="auto"/>
          <w:szCs w:val="24"/>
        </w:rPr>
      </w:pPr>
      <w:r w:rsidRPr="00E55807">
        <w:rPr>
          <w:color w:val="auto"/>
          <w:szCs w:val="24"/>
        </w:rPr>
        <w:t xml:space="preserve">Vereecken, L., Harder, H. and </w:t>
      </w:r>
      <w:proofErr w:type="spellStart"/>
      <w:r w:rsidRPr="00E55807">
        <w:rPr>
          <w:color w:val="auto"/>
          <w:szCs w:val="24"/>
        </w:rPr>
        <w:t>Novelli</w:t>
      </w:r>
      <w:proofErr w:type="spellEnd"/>
      <w:r w:rsidRPr="00E55807">
        <w:rPr>
          <w:color w:val="auto"/>
          <w:szCs w:val="24"/>
        </w:rPr>
        <w:t>, A.: Phys. Chem. Chem. Phys., 1</w:t>
      </w:r>
      <w:r w:rsidR="00E55807" w:rsidRPr="00E55807">
        <w:rPr>
          <w:color w:val="auto"/>
          <w:szCs w:val="24"/>
        </w:rPr>
        <w:t>4</w:t>
      </w:r>
      <w:r w:rsidRPr="00E55807">
        <w:rPr>
          <w:color w:val="auto"/>
          <w:szCs w:val="24"/>
        </w:rPr>
        <w:t xml:space="preserve">, </w:t>
      </w:r>
      <w:r w:rsidR="00E55807" w:rsidRPr="00E55807">
        <w:rPr>
          <w:color w:val="auto"/>
          <w:szCs w:val="24"/>
        </w:rPr>
        <w:t>14682</w:t>
      </w:r>
      <w:r w:rsidRPr="00E55807">
        <w:rPr>
          <w:color w:val="auto"/>
          <w:szCs w:val="24"/>
        </w:rPr>
        <w:t>, 201</w:t>
      </w:r>
      <w:r w:rsidR="00E55807" w:rsidRPr="00E55807">
        <w:rPr>
          <w:color w:val="auto"/>
          <w:szCs w:val="24"/>
        </w:rPr>
        <w:t>2</w:t>
      </w:r>
      <w:r w:rsidRPr="00E55807">
        <w:rPr>
          <w:color w:val="auto"/>
          <w:szCs w:val="24"/>
        </w:rPr>
        <w:t>.</w:t>
      </w:r>
    </w:p>
    <w:p w14:paraId="2354851E" w14:textId="77777777" w:rsidR="00065255" w:rsidRDefault="00065255" w:rsidP="00065255">
      <w:pPr>
        <w:tabs>
          <w:tab w:val="center" w:pos="4680"/>
        </w:tabs>
        <w:ind w:right="-63"/>
        <w:jc w:val="both"/>
        <w:rPr>
          <w:color w:val="auto"/>
          <w:szCs w:val="24"/>
        </w:rPr>
      </w:pPr>
      <w:r w:rsidRPr="00A23A24">
        <w:rPr>
          <w:color w:val="auto"/>
          <w:szCs w:val="24"/>
        </w:rPr>
        <w:t xml:space="preserve"> </w:t>
      </w:r>
    </w:p>
    <w:p w14:paraId="7C8384A5" w14:textId="77777777" w:rsidR="001668B9" w:rsidRDefault="001668B9" w:rsidP="00065255">
      <w:pPr>
        <w:tabs>
          <w:tab w:val="center" w:pos="4680"/>
        </w:tabs>
        <w:ind w:right="-63"/>
        <w:jc w:val="both"/>
        <w:rPr>
          <w:color w:val="auto"/>
          <w:szCs w:val="24"/>
        </w:rPr>
      </w:pPr>
    </w:p>
    <w:p w14:paraId="5C84A959" w14:textId="77777777" w:rsidR="001668B9" w:rsidRPr="00A23A24" w:rsidRDefault="00E40E46" w:rsidP="00065255">
      <w:pPr>
        <w:tabs>
          <w:tab w:val="center" w:pos="4680"/>
        </w:tabs>
        <w:ind w:right="-63"/>
        <w:jc w:val="both"/>
        <w:rPr>
          <w:color w:val="auto"/>
          <w:szCs w:val="24"/>
        </w:rPr>
      </w:pPr>
      <w:r w:rsidRPr="00C1673C">
        <w:pict w14:anchorId="2C82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35pt;height:282.35pt;visibility:visible">
            <v:imagedata r:id="rId9" o:title=""/>
          </v:shape>
        </w:pict>
      </w:r>
    </w:p>
    <w:p w14:paraId="68619B76" w14:textId="77777777" w:rsidR="00CC6651" w:rsidRPr="00E40E46" w:rsidRDefault="008351C1" w:rsidP="008351C1">
      <w:pPr>
        <w:tabs>
          <w:tab w:val="center" w:pos="4680"/>
        </w:tabs>
        <w:ind w:right="-63"/>
        <w:rPr>
          <w:color w:val="auto"/>
          <w:sz w:val="20"/>
        </w:rPr>
      </w:pPr>
      <w:r w:rsidRPr="00E40E46">
        <w:rPr>
          <w:sz w:val="20"/>
          <w:lang w:val="de-DE"/>
        </w:rPr>
        <w:t xml:space="preserve">Arrhenius plot of </w:t>
      </w:r>
      <w:r w:rsidRPr="00E40E46">
        <w:rPr>
          <w:i/>
          <w:iCs/>
          <w:sz w:val="20"/>
          <w:lang w:val="de-DE"/>
        </w:rPr>
        <w:t>k</w:t>
      </w:r>
      <w:r w:rsidRPr="00E40E46">
        <w:rPr>
          <w:i/>
          <w:iCs/>
          <w:sz w:val="20"/>
          <w:vertAlign w:val="subscript"/>
          <w:lang w:val="de-DE"/>
        </w:rPr>
        <w:t>∞</w:t>
      </w:r>
      <w:r w:rsidRPr="00E40E46">
        <w:rPr>
          <w:sz w:val="20"/>
          <w:lang w:val="de-DE"/>
        </w:rPr>
        <w:t>((CH</w:t>
      </w:r>
      <w:r w:rsidRPr="00E40E46">
        <w:rPr>
          <w:sz w:val="20"/>
          <w:vertAlign w:val="subscript"/>
          <w:lang w:val="de-DE"/>
        </w:rPr>
        <w:t>3</w:t>
      </w:r>
      <w:r w:rsidRPr="00E40E46">
        <w:rPr>
          <w:sz w:val="20"/>
          <w:lang w:val="de-DE"/>
        </w:rPr>
        <w:t>)</w:t>
      </w:r>
      <w:r w:rsidRPr="00E40E46">
        <w:rPr>
          <w:sz w:val="20"/>
          <w:vertAlign w:val="subscript"/>
          <w:lang w:val="de-DE"/>
        </w:rPr>
        <w:t>2</w:t>
      </w:r>
      <w:r w:rsidRPr="00E40E46">
        <w:rPr>
          <w:sz w:val="20"/>
          <w:lang w:val="de-DE"/>
        </w:rPr>
        <w:t>COO + SO</w:t>
      </w:r>
      <w:r w:rsidRPr="00E40E46">
        <w:rPr>
          <w:sz w:val="20"/>
          <w:vertAlign w:val="subscript"/>
          <w:lang w:val="de-DE"/>
        </w:rPr>
        <w:t>2</w:t>
      </w:r>
      <w:r w:rsidRPr="00E40E46">
        <w:rPr>
          <w:sz w:val="20"/>
          <w:lang w:val="de-DE"/>
        </w:rPr>
        <w:t>). The displayed errors are the experimental limits cited by the authors.</w:t>
      </w:r>
    </w:p>
    <w:sectPr w:rsidR="00CC6651" w:rsidRPr="00E40E46">
      <w:footerReference w:type="default" r:id="rId10"/>
      <w:footerReference w:type="first" r:id="rId11"/>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5C46" w14:textId="77777777" w:rsidR="00A14067" w:rsidRDefault="00A14067">
      <w:r>
        <w:separator/>
      </w:r>
    </w:p>
  </w:endnote>
  <w:endnote w:type="continuationSeparator" w:id="0">
    <w:p w14:paraId="7F40EAFC" w14:textId="77777777" w:rsidR="00A14067" w:rsidRDefault="00A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panose1 w:val="00000000000000000000"/>
    <w:charset w:val="4D"/>
    <w:family w:val="auto"/>
    <w:notTrueType/>
    <w:pitch w:val="default"/>
    <w:sig w:usb0="00000003" w:usb1="00000000" w:usb2="00000000" w:usb3="00000000" w:csb0="00000001" w:csb1="00000000"/>
  </w:font>
  <w:font w:name="AdvOTd369e91e">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6CBA" w14:textId="77777777" w:rsidR="00667891" w:rsidRDefault="00667891">
    <w:pPr>
      <w:pStyle w:val="Footer"/>
    </w:pPr>
    <w:r>
      <w:pict w14:anchorId="521BE5E9">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13500512"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9B471B">
                  <w:rPr>
                    <w:rStyle w:val="PageNumber"/>
                    <w:noProof/>
                  </w:rPr>
                  <w:t>3</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BB79"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BEAC" w14:textId="77777777" w:rsidR="00A14067" w:rsidRDefault="00A14067">
      <w:r>
        <w:separator/>
      </w:r>
    </w:p>
  </w:footnote>
  <w:footnote w:type="continuationSeparator" w:id="0">
    <w:p w14:paraId="0A4FA29F" w14:textId="77777777" w:rsidR="00A14067" w:rsidRDefault="00A1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3" w15:restartNumberingAfterBreak="0">
    <w:nsid w:val="4AC350FD"/>
    <w:multiLevelType w:val="hybridMultilevel"/>
    <w:tmpl w:val="9592A846"/>
    <w:name w:val="WW8Num223"/>
    <w:lvl w:ilvl="0" w:tplc="4B4CFC3E">
      <w:start w:val="1"/>
      <w:numFmt w:val="lowerLetter"/>
      <w:lvlText w:val="(%1)"/>
      <w:lvlJc w:val="left"/>
      <w:pPr>
        <w:tabs>
          <w:tab w:val="num" w:pos="360"/>
        </w:tabs>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C4BFB"/>
    <w:multiLevelType w:val="multilevel"/>
    <w:tmpl w:val="8716C782"/>
    <w:lvl w:ilvl="0">
      <w:start w:val="1"/>
      <w:numFmt w:val="decimal"/>
      <w:lvlText w:val="B%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10D1"/>
    <w:rsid w:val="00015D46"/>
    <w:rsid w:val="00025707"/>
    <w:rsid w:val="00026185"/>
    <w:rsid w:val="00046F46"/>
    <w:rsid w:val="0004713D"/>
    <w:rsid w:val="00051639"/>
    <w:rsid w:val="00057B6C"/>
    <w:rsid w:val="00060F84"/>
    <w:rsid w:val="00065255"/>
    <w:rsid w:val="000657B0"/>
    <w:rsid w:val="00067037"/>
    <w:rsid w:val="00073E26"/>
    <w:rsid w:val="00082371"/>
    <w:rsid w:val="00083A9E"/>
    <w:rsid w:val="00087559"/>
    <w:rsid w:val="000917D3"/>
    <w:rsid w:val="000A081F"/>
    <w:rsid w:val="000A5DB0"/>
    <w:rsid w:val="000A755B"/>
    <w:rsid w:val="000B1E91"/>
    <w:rsid w:val="000B4DB6"/>
    <w:rsid w:val="000C6109"/>
    <w:rsid w:val="000D5266"/>
    <w:rsid w:val="000E4DF3"/>
    <w:rsid w:val="000F5647"/>
    <w:rsid w:val="00103BFE"/>
    <w:rsid w:val="00110DA2"/>
    <w:rsid w:val="00120939"/>
    <w:rsid w:val="00127FA2"/>
    <w:rsid w:val="00160DFA"/>
    <w:rsid w:val="00165737"/>
    <w:rsid w:val="001668B9"/>
    <w:rsid w:val="00171657"/>
    <w:rsid w:val="00180A4F"/>
    <w:rsid w:val="00187FB3"/>
    <w:rsid w:val="0019689A"/>
    <w:rsid w:val="00196AE4"/>
    <w:rsid w:val="001B11F8"/>
    <w:rsid w:val="001C756F"/>
    <w:rsid w:val="001E3362"/>
    <w:rsid w:val="001F4575"/>
    <w:rsid w:val="00217DE8"/>
    <w:rsid w:val="00230EA1"/>
    <w:rsid w:val="00235425"/>
    <w:rsid w:val="0024296A"/>
    <w:rsid w:val="00257C1E"/>
    <w:rsid w:val="00263004"/>
    <w:rsid w:val="00276CE1"/>
    <w:rsid w:val="0027752A"/>
    <w:rsid w:val="00286AEC"/>
    <w:rsid w:val="00296D05"/>
    <w:rsid w:val="002A3239"/>
    <w:rsid w:val="002B748A"/>
    <w:rsid w:val="002B76A5"/>
    <w:rsid w:val="002D26FD"/>
    <w:rsid w:val="002D4F64"/>
    <w:rsid w:val="002F7BF3"/>
    <w:rsid w:val="00371C88"/>
    <w:rsid w:val="003738B3"/>
    <w:rsid w:val="003738E0"/>
    <w:rsid w:val="00374307"/>
    <w:rsid w:val="00381D92"/>
    <w:rsid w:val="00393157"/>
    <w:rsid w:val="003964D0"/>
    <w:rsid w:val="003A56C9"/>
    <w:rsid w:val="003B2E4A"/>
    <w:rsid w:val="003B61AE"/>
    <w:rsid w:val="003C25D8"/>
    <w:rsid w:val="003E0DEE"/>
    <w:rsid w:val="003F4552"/>
    <w:rsid w:val="00400E22"/>
    <w:rsid w:val="004211DB"/>
    <w:rsid w:val="00421A61"/>
    <w:rsid w:val="00426543"/>
    <w:rsid w:val="0044732A"/>
    <w:rsid w:val="0044764F"/>
    <w:rsid w:val="004478AE"/>
    <w:rsid w:val="00467310"/>
    <w:rsid w:val="004708CA"/>
    <w:rsid w:val="00472B05"/>
    <w:rsid w:val="004A38CD"/>
    <w:rsid w:val="004B43B1"/>
    <w:rsid w:val="004D12C9"/>
    <w:rsid w:val="004E7933"/>
    <w:rsid w:val="004F00DE"/>
    <w:rsid w:val="00506C23"/>
    <w:rsid w:val="00510981"/>
    <w:rsid w:val="00525C80"/>
    <w:rsid w:val="0052659C"/>
    <w:rsid w:val="00543848"/>
    <w:rsid w:val="00544596"/>
    <w:rsid w:val="005532D9"/>
    <w:rsid w:val="00556248"/>
    <w:rsid w:val="00581FF4"/>
    <w:rsid w:val="00583EB1"/>
    <w:rsid w:val="0058473E"/>
    <w:rsid w:val="00596CF6"/>
    <w:rsid w:val="00597285"/>
    <w:rsid w:val="005C5BC3"/>
    <w:rsid w:val="005D0E90"/>
    <w:rsid w:val="005F30D4"/>
    <w:rsid w:val="005F7772"/>
    <w:rsid w:val="00600576"/>
    <w:rsid w:val="00605352"/>
    <w:rsid w:val="00613499"/>
    <w:rsid w:val="00617DFA"/>
    <w:rsid w:val="00620CB0"/>
    <w:rsid w:val="00625295"/>
    <w:rsid w:val="0063486F"/>
    <w:rsid w:val="00637C26"/>
    <w:rsid w:val="00643BD9"/>
    <w:rsid w:val="0064729E"/>
    <w:rsid w:val="00650C5B"/>
    <w:rsid w:val="006622D2"/>
    <w:rsid w:val="00667891"/>
    <w:rsid w:val="00693EC7"/>
    <w:rsid w:val="006B6047"/>
    <w:rsid w:val="006C308C"/>
    <w:rsid w:val="006C6D5A"/>
    <w:rsid w:val="006E1847"/>
    <w:rsid w:val="006F09CD"/>
    <w:rsid w:val="006F79CA"/>
    <w:rsid w:val="00705785"/>
    <w:rsid w:val="00710798"/>
    <w:rsid w:val="00713905"/>
    <w:rsid w:val="00722811"/>
    <w:rsid w:val="00743D70"/>
    <w:rsid w:val="00746B0E"/>
    <w:rsid w:val="00754BAA"/>
    <w:rsid w:val="007565E5"/>
    <w:rsid w:val="00773C03"/>
    <w:rsid w:val="00773E84"/>
    <w:rsid w:val="00777B41"/>
    <w:rsid w:val="00787030"/>
    <w:rsid w:val="007A13AB"/>
    <w:rsid w:val="007A14B0"/>
    <w:rsid w:val="007A2AFA"/>
    <w:rsid w:val="007A33FE"/>
    <w:rsid w:val="007B0EF5"/>
    <w:rsid w:val="007B5080"/>
    <w:rsid w:val="007C17E7"/>
    <w:rsid w:val="007D12BB"/>
    <w:rsid w:val="007E7B88"/>
    <w:rsid w:val="007F4289"/>
    <w:rsid w:val="007F6A59"/>
    <w:rsid w:val="008351C1"/>
    <w:rsid w:val="00837596"/>
    <w:rsid w:val="008401F1"/>
    <w:rsid w:val="00841802"/>
    <w:rsid w:val="0085481F"/>
    <w:rsid w:val="008605B7"/>
    <w:rsid w:val="00887324"/>
    <w:rsid w:val="00891DF2"/>
    <w:rsid w:val="00894283"/>
    <w:rsid w:val="008B02B0"/>
    <w:rsid w:val="008B3D0F"/>
    <w:rsid w:val="008B68B1"/>
    <w:rsid w:val="008D1E2D"/>
    <w:rsid w:val="008E4057"/>
    <w:rsid w:val="008E758B"/>
    <w:rsid w:val="008F151A"/>
    <w:rsid w:val="00906C25"/>
    <w:rsid w:val="00925059"/>
    <w:rsid w:val="00937514"/>
    <w:rsid w:val="00937BE5"/>
    <w:rsid w:val="00940D3A"/>
    <w:rsid w:val="00945495"/>
    <w:rsid w:val="00953031"/>
    <w:rsid w:val="0095622F"/>
    <w:rsid w:val="0096098F"/>
    <w:rsid w:val="00963CC7"/>
    <w:rsid w:val="00976095"/>
    <w:rsid w:val="00983C0D"/>
    <w:rsid w:val="00994621"/>
    <w:rsid w:val="009B012C"/>
    <w:rsid w:val="009B1A6B"/>
    <w:rsid w:val="009B471B"/>
    <w:rsid w:val="009C4577"/>
    <w:rsid w:val="009C4C6F"/>
    <w:rsid w:val="009C550E"/>
    <w:rsid w:val="009E1E9F"/>
    <w:rsid w:val="009E304E"/>
    <w:rsid w:val="009F3A27"/>
    <w:rsid w:val="009F4230"/>
    <w:rsid w:val="00A05D44"/>
    <w:rsid w:val="00A11E5E"/>
    <w:rsid w:val="00A14067"/>
    <w:rsid w:val="00A147A6"/>
    <w:rsid w:val="00A23A24"/>
    <w:rsid w:val="00A339FB"/>
    <w:rsid w:val="00A34B0D"/>
    <w:rsid w:val="00A373FD"/>
    <w:rsid w:val="00A443AE"/>
    <w:rsid w:val="00A52A57"/>
    <w:rsid w:val="00A5312B"/>
    <w:rsid w:val="00A54391"/>
    <w:rsid w:val="00A606B7"/>
    <w:rsid w:val="00A74A04"/>
    <w:rsid w:val="00A74DF0"/>
    <w:rsid w:val="00A914B7"/>
    <w:rsid w:val="00AB6337"/>
    <w:rsid w:val="00AC42C9"/>
    <w:rsid w:val="00AC6019"/>
    <w:rsid w:val="00AC70C1"/>
    <w:rsid w:val="00AD3393"/>
    <w:rsid w:val="00AE45BB"/>
    <w:rsid w:val="00AE657F"/>
    <w:rsid w:val="00AF48D7"/>
    <w:rsid w:val="00AF66F9"/>
    <w:rsid w:val="00B071AB"/>
    <w:rsid w:val="00B11AA9"/>
    <w:rsid w:val="00B13DC2"/>
    <w:rsid w:val="00B17DC5"/>
    <w:rsid w:val="00B205D2"/>
    <w:rsid w:val="00B24156"/>
    <w:rsid w:val="00B31BF6"/>
    <w:rsid w:val="00B32805"/>
    <w:rsid w:val="00B36F17"/>
    <w:rsid w:val="00B4430F"/>
    <w:rsid w:val="00B50B73"/>
    <w:rsid w:val="00B57759"/>
    <w:rsid w:val="00B614F5"/>
    <w:rsid w:val="00B615E9"/>
    <w:rsid w:val="00B84FD2"/>
    <w:rsid w:val="00B94850"/>
    <w:rsid w:val="00BD2342"/>
    <w:rsid w:val="00BF03C1"/>
    <w:rsid w:val="00BF04CF"/>
    <w:rsid w:val="00C000CE"/>
    <w:rsid w:val="00C018D6"/>
    <w:rsid w:val="00C155E8"/>
    <w:rsid w:val="00C1673C"/>
    <w:rsid w:val="00C22671"/>
    <w:rsid w:val="00C2431D"/>
    <w:rsid w:val="00C276C1"/>
    <w:rsid w:val="00C501D5"/>
    <w:rsid w:val="00C5353A"/>
    <w:rsid w:val="00C730A2"/>
    <w:rsid w:val="00C77266"/>
    <w:rsid w:val="00C90753"/>
    <w:rsid w:val="00C92608"/>
    <w:rsid w:val="00C97801"/>
    <w:rsid w:val="00CA56DB"/>
    <w:rsid w:val="00CA5CE1"/>
    <w:rsid w:val="00CA6630"/>
    <w:rsid w:val="00CA69DA"/>
    <w:rsid w:val="00CC6651"/>
    <w:rsid w:val="00CE1408"/>
    <w:rsid w:val="00CF19DD"/>
    <w:rsid w:val="00D0777C"/>
    <w:rsid w:val="00D1373A"/>
    <w:rsid w:val="00D309AC"/>
    <w:rsid w:val="00D334F1"/>
    <w:rsid w:val="00D50BCE"/>
    <w:rsid w:val="00D60876"/>
    <w:rsid w:val="00D72280"/>
    <w:rsid w:val="00D753B9"/>
    <w:rsid w:val="00D76EA6"/>
    <w:rsid w:val="00D83945"/>
    <w:rsid w:val="00D851E9"/>
    <w:rsid w:val="00D85296"/>
    <w:rsid w:val="00D8581C"/>
    <w:rsid w:val="00DA43A2"/>
    <w:rsid w:val="00DA5A6E"/>
    <w:rsid w:val="00DC174E"/>
    <w:rsid w:val="00DC1D99"/>
    <w:rsid w:val="00DC219A"/>
    <w:rsid w:val="00DC5A70"/>
    <w:rsid w:val="00DC5F36"/>
    <w:rsid w:val="00DF0DBB"/>
    <w:rsid w:val="00DF5AAC"/>
    <w:rsid w:val="00E3651F"/>
    <w:rsid w:val="00E40E46"/>
    <w:rsid w:val="00E4656A"/>
    <w:rsid w:val="00E55807"/>
    <w:rsid w:val="00E656B1"/>
    <w:rsid w:val="00E81FFB"/>
    <w:rsid w:val="00E82CEC"/>
    <w:rsid w:val="00EA5447"/>
    <w:rsid w:val="00EB3BD8"/>
    <w:rsid w:val="00EC3729"/>
    <w:rsid w:val="00ED24D0"/>
    <w:rsid w:val="00ED36D6"/>
    <w:rsid w:val="00ED5945"/>
    <w:rsid w:val="00EF55BF"/>
    <w:rsid w:val="00F16E4A"/>
    <w:rsid w:val="00F340B1"/>
    <w:rsid w:val="00F42941"/>
    <w:rsid w:val="00F51E40"/>
    <w:rsid w:val="00F649C4"/>
    <w:rsid w:val="00F724B2"/>
    <w:rsid w:val="00F72A3E"/>
    <w:rsid w:val="00F81A6C"/>
    <w:rsid w:val="00F81A75"/>
    <w:rsid w:val="00F920DF"/>
    <w:rsid w:val="00FB2707"/>
    <w:rsid w:val="00FB2B0A"/>
    <w:rsid w:val="00FB54ED"/>
    <w:rsid w:val="00FC7D11"/>
    <w:rsid w:val="00FD2AD1"/>
    <w:rsid w:val="00FD4F17"/>
    <w:rsid w:val="00FE162E"/>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92798F"/>
  <w15:chartTrackingRefBased/>
  <w15:docId w15:val="{41A3FC03-BF10-4E09-B779-9A655208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styleId="SubtleEmphasis">
    <w:name w:val="Subtle Emphasis"/>
    <w:uiPriority w:val="19"/>
    <w:qFormat/>
    <w:rsid w:val="0046731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E763-12DC-4FE4-94C5-E5A2C957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CGI_18</vt:lpstr>
    </vt:vector>
  </TitlesOfParts>
  <Company/>
  <LinksUpToDate>false</LinksUpToDate>
  <CharactersWithSpaces>8644</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CGI_18</dc:title>
  <dc:subject/>
  <dc:creator>Janet Arey</dc:creator>
  <cp:keywords/>
  <cp:lastModifiedBy>Mike</cp:lastModifiedBy>
  <cp:revision>2</cp:revision>
  <cp:lastPrinted>2020-05-11T09:29:00Z</cp:lastPrinted>
  <dcterms:created xsi:type="dcterms:W3CDTF">2020-05-11T09:30:00Z</dcterms:created>
  <dcterms:modified xsi:type="dcterms:W3CDTF">2020-05-11T09:30:00Z</dcterms:modified>
</cp:coreProperties>
</file>