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79B588" w14:textId="77777777" w:rsidR="00083A9E" w:rsidRPr="00643BD9" w:rsidRDefault="00083A9E" w:rsidP="00083A9E">
      <w:pPr>
        <w:pStyle w:val="BodyTextIndent"/>
        <w:ind w:left="0"/>
        <w:rPr>
          <w:szCs w:val="24"/>
        </w:rPr>
      </w:pPr>
      <w:r w:rsidRPr="00643BD9">
        <w:rPr>
          <w:b/>
          <w:szCs w:val="24"/>
        </w:rPr>
        <w:t xml:space="preserve">IUPAC Task Group on Atmospheric Chemical Kinetic Data Evaluation – Data Sheet </w:t>
      </w:r>
      <w:r w:rsidR="00643BD9" w:rsidRPr="00643BD9">
        <w:rPr>
          <w:b/>
          <w:szCs w:val="24"/>
        </w:rPr>
        <w:t>CGI</w:t>
      </w:r>
      <w:r w:rsidRPr="00643BD9">
        <w:rPr>
          <w:b/>
          <w:szCs w:val="24"/>
        </w:rPr>
        <w:t>_</w:t>
      </w:r>
      <w:r w:rsidR="00CA6D4F">
        <w:rPr>
          <w:b/>
          <w:szCs w:val="24"/>
        </w:rPr>
        <w:t>16</w:t>
      </w:r>
    </w:p>
    <w:p w14:paraId="1235E0E6" w14:textId="77777777" w:rsidR="00083A9E" w:rsidRDefault="00083A9E" w:rsidP="00083A9E">
      <w:pPr>
        <w:ind w:right="680"/>
        <w:jc w:val="both"/>
        <w:rPr>
          <w:szCs w:val="24"/>
        </w:rPr>
      </w:pPr>
      <w:r>
        <w:rPr>
          <w:szCs w:val="24"/>
        </w:rPr>
        <w:t>Datasheets can be downloaded for personal use only and must not be retransmitted or disseminated either electronically or in hardcopy without explicit written permission. The citation for this data sheet is: IUPAC Task Group on Atmospheric Chemical Kinetic Data Evaluation, (</w:t>
      </w:r>
      <w:hyperlink r:id="rId8" w:history="1">
        <w:r>
          <w:rPr>
            <w:rStyle w:val="Hyperlink"/>
            <w:szCs w:val="24"/>
          </w:rPr>
          <w:t>http://iupac.pole-ether.fr</w:t>
        </w:r>
      </w:hyperlink>
      <w:r>
        <w:rPr>
          <w:szCs w:val="24"/>
        </w:rPr>
        <w:t xml:space="preserve">). </w:t>
      </w:r>
    </w:p>
    <w:p w14:paraId="38019DC4" w14:textId="77777777" w:rsidR="00083A9E" w:rsidRDefault="00083A9E" w:rsidP="00083A9E">
      <w:pPr>
        <w:ind w:right="525"/>
        <w:jc w:val="both"/>
      </w:pPr>
      <w:r>
        <w:rPr>
          <w:szCs w:val="24"/>
        </w:rPr>
        <w:t xml:space="preserve">This datasheet last evaluated: </w:t>
      </w:r>
      <w:r w:rsidR="00AA508A">
        <w:rPr>
          <w:szCs w:val="24"/>
        </w:rPr>
        <w:t>February 2020</w:t>
      </w:r>
      <w:r>
        <w:rPr>
          <w:szCs w:val="24"/>
        </w:rPr>
        <w:t xml:space="preserve">; last change in preferred values: </w:t>
      </w:r>
      <w:r w:rsidR="00AA508A">
        <w:rPr>
          <w:szCs w:val="24"/>
        </w:rPr>
        <w:t>February 2020</w:t>
      </w:r>
    </w:p>
    <w:p w14:paraId="310E3A40" w14:textId="77777777" w:rsidR="00667891" w:rsidRDefault="00667891">
      <w:pPr>
        <w:ind w:right="332"/>
      </w:pPr>
      <w:r>
        <w:pict w14:anchorId="5912C768">
          <v:line id="_x0000_s1026" style="position:absolute;z-index:1" from="-67.05pt,11.4pt" to="528.2pt,11.4pt" strokeweight=".26mm">
            <v:stroke joinstyle="miter" endcap="square"/>
          </v:line>
        </w:pict>
      </w:r>
    </w:p>
    <w:p w14:paraId="09DD7F1F" w14:textId="77777777" w:rsidR="00667891" w:rsidRDefault="00667891">
      <w:pPr>
        <w:tabs>
          <w:tab w:val="center" w:pos="4680"/>
        </w:tabs>
        <w:jc w:val="center"/>
      </w:pPr>
    </w:p>
    <w:p w14:paraId="116281E2" w14:textId="77777777" w:rsidR="00083A9E" w:rsidRDefault="00CA6D4F" w:rsidP="003F496F">
      <w:pPr>
        <w:jc w:val="center"/>
        <w:rPr>
          <w:b/>
        </w:rPr>
      </w:pPr>
      <w:r>
        <w:rPr>
          <w:b/>
        </w:rPr>
        <w:t>CH</w:t>
      </w:r>
      <w:r>
        <w:rPr>
          <w:b/>
          <w:vertAlign w:val="subscript"/>
        </w:rPr>
        <w:t>3</w:t>
      </w:r>
      <w:r>
        <w:rPr>
          <w:b/>
        </w:rPr>
        <w:t>CHOO (</w:t>
      </w:r>
      <w:r>
        <w:rPr>
          <w:b/>
          <w:i/>
        </w:rPr>
        <w:t>Z-</w:t>
      </w:r>
      <w:r w:rsidRPr="00C64475">
        <w:rPr>
          <w:b/>
          <w:iCs/>
        </w:rPr>
        <w:t xml:space="preserve"> and </w:t>
      </w:r>
      <w:r>
        <w:rPr>
          <w:b/>
          <w:i/>
        </w:rPr>
        <w:t>E-</w:t>
      </w:r>
      <w:r>
        <w:rPr>
          <w:b/>
        </w:rPr>
        <w:t>) + H</w:t>
      </w:r>
      <w:r>
        <w:rPr>
          <w:b/>
          <w:vertAlign w:val="subscript"/>
        </w:rPr>
        <w:t>2</w:t>
      </w:r>
      <w:r>
        <w:rPr>
          <w:b/>
        </w:rPr>
        <w:t xml:space="preserve">O </w:t>
      </w:r>
      <w:r>
        <w:rPr>
          <w:b/>
        </w:rPr>
        <w:sym w:font="Symbol" w:char="F0AE"/>
      </w:r>
      <w:r>
        <w:rPr>
          <w:b/>
        </w:rPr>
        <w:t xml:space="preserve"> products      </w:t>
      </w:r>
      <w:proofErr w:type="gramStart"/>
      <w:r>
        <w:rPr>
          <w:b/>
        </w:rPr>
        <w:t xml:space="preserve">   (</w:t>
      </w:r>
      <w:proofErr w:type="gramEnd"/>
      <w:r>
        <w:rPr>
          <w:b/>
        </w:rPr>
        <w:t>1)</w:t>
      </w:r>
    </w:p>
    <w:p w14:paraId="0B1D88BB" w14:textId="77777777" w:rsidR="00CA6D4F" w:rsidRDefault="00CA6D4F" w:rsidP="003F496F">
      <w:pPr>
        <w:jc w:val="center"/>
        <w:rPr>
          <w:b/>
        </w:rPr>
      </w:pPr>
      <w:r>
        <w:rPr>
          <w:b/>
        </w:rPr>
        <w:t>CH</w:t>
      </w:r>
      <w:r>
        <w:rPr>
          <w:b/>
          <w:vertAlign w:val="subscript"/>
        </w:rPr>
        <w:t>3</w:t>
      </w:r>
      <w:r>
        <w:rPr>
          <w:b/>
        </w:rPr>
        <w:t>CHOO (</w:t>
      </w:r>
      <w:r>
        <w:rPr>
          <w:b/>
          <w:i/>
        </w:rPr>
        <w:t>Z-</w:t>
      </w:r>
      <w:r w:rsidRPr="00C64475">
        <w:rPr>
          <w:b/>
          <w:iCs/>
        </w:rPr>
        <w:t xml:space="preserve"> and </w:t>
      </w:r>
      <w:r>
        <w:rPr>
          <w:b/>
          <w:i/>
        </w:rPr>
        <w:t>E-</w:t>
      </w:r>
      <w:r>
        <w:rPr>
          <w:b/>
        </w:rPr>
        <w:t>) + (H</w:t>
      </w:r>
      <w:r>
        <w:rPr>
          <w:b/>
          <w:vertAlign w:val="subscript"/>
        </w:rPr>
        <w:t>2</w:t>
      </w:r>
      <w:r>
        <w:rPr>
          <w:b/>
        </w:rPr>
        <w:t>O)</w:t>
      </w:r>
      <w:r w:rsidRPr="00CA6D4F">
        <w:rPr>
          <w:b/>
          <w:vertAlign w:val="subscript"/>
        </w:rPr>
        <w:t>2</w:t>
      </w:r>
      <w:r>
        <w:rPr>
          <w:b/>
        </w:rPr>
        <w:t xml:space="preserve"> </w:t>
      </w:r>
      <w:r>
        <w:rPr>
          <w:b/>
        </w:rPr>
        <w:sym w:font="Symbol" w:char="F0AE"/>
      </w:r>
      <w:r>
        <w:rPr>
          <w:b/>
        </w:rPr>
        <w:t xml:space="preserve"> products      </w:t>
      </w:r>
      <w:proofErr w:type="gramStart"/>
      <w:r>
        <w:rPr>
          <w:b/>
        </w:rPr>
        <w:t xml:space="preserve">   (</w:t>
      </w:r>
      <w:proofErr w:type="gramEnd"/>
      <w:r>
        <w:rPr>
          <w:b/>
        </w:rPr>
        <w:t>2)</w:t>
      </w:r>
    </w:p>
    <w:p w14:paraId="0713284E" w14:textId="77777777" w:rsidR="00CA6D4F" w:rsidRPr="001D3940" w:rsidRDefault="00CA6D4F" w:rsidP="00083A9E">
      <w:pPr>
        <w:tabs>
          <w:tab w:val="center" w:pos="4680"/>
        </w:tabs>
        <w:jc w:val="center"/>
        <w:rPr>
          <w:color w:val="auto"/>
        </w:rPr>
      </w:pPr>
    </w:p>
    <w:p w14:paraId="04FDFEEC" w14:textId="77777777" w:rsidR="00083A9E" w:rsidRPr="001D3940" w:rsidRDefault="00083A9E" w:rsidP="00083A9E">
      <w:pPr>
        <w:tabs>
          <w:tab w:val="left" w:pos="-1440"/>
          <w:tab w:val="left" w:pos="-720"/>
          <w:tab w:val="left" w:pos="288"/>
        </w:tabs>
        <w:jc w:val="both"/>
        <w:rPr>
          <w:color w:val="auto"/>
        </w:rPr>
      </w:pPr>
    </w:p>
    <w:p w14:paraId="1F295B42" w14:textId="77777777" w:rsidR="00083A9E" w:rsidRPr="001D3940" w:rsidRDefault="00083A9E" w:rsidP="00083A9E">
      <w:pPr>
        <w:pStyle w:val="Heading2"/>
        <w:rPr>
          <w:color w:val="auto"/>
        </w:rPr>
      </w:pPr>
      <w:r w:rsidRPr="001D3940">
        <w:rPr>
          <w:rFonts w:ascii="Times New Roman" w:hAnsi="Times New Roman" w:cs="Times New Roman"/>
          <w:color w:val="auto"/>
        </w:rPr>
        <w:t>Rate coefficient data</w:t>
      </w:r>
    </w:p>
    <w:p w14:paraId="109EBD4F" w14:textId="77777777" w:rsidR="00083A9E" w:rsidRPr="001D3940" w:rsidRDefault="00083A9E" w:rsidP="00083A9E">
      <w:pPr>
        <w:tabs>
          <w:tab w:val="center" w:pos="4680"/>
        </w:tabs>
        <w:jc w:val="both"/>
        <w:rPr>
          <w:b/>
          <w:color w:val="auto"/>
        </w:rPr>
      </w:pPr>
    </w:p>
    <w:tbl>
      <w:tblPr>
        <w:tblW w:w="0" w:type="auto"/>
        <w:tblInd w:w="578" w:type="dxa"/>
        <w:tblLayout w:type="fixed"/>
        <w:tblLook w:val="0000" w:firstRow="0" w:lastRow="0" w:firstColumn="0" w:lastColumn="0" w:noHBand="0" w:noVBand="0"/>
      </w:tblPr>
      <w:tblGrid>
        <w:gridCol w:w="3358"/>
        <w:gridCol w:w="1276"/>
        <w:gridCol w:w="142"/>
        <w:gridCol w:w="2126"/>
        <w:gridCol w:w="141"/>
        <w:gridCol w:w="1985"/>
        <w:gridCol w:w="121"/>
      </w:tblGrid>
      <w:tr w:rsidR="00083A9E" w:rsidRPr="001D3940" w14:paraId="1B26F4DD" w14:textId="77777777" w:rsidTr="00593DC5">
        <w:trPr>
          <w:gridAfter w:val="1"/>
          <w:wAfter w:w="121" w:type="dxa"/>
        </w:trPr>
        <w:tc>
          <w:tcPr>
            <w:tcW w:w="3358" w:type="dxa"/>
            <w:tcBorders>
              <w:top w:val="double" w:sz="1" w:space="0" w:color="000000"/>
              <w:bottom w:val="single" w:sz="4" w:space="0" w:color="000000"/>
            </w:tcBorders>
            <w:shd w:val="clear" w:color="auto" w:fill="auto"/>
          </w:tcPr>
          <w:p w14:paraId="34D13A5E" w14:textId="77777777" w:rsidR="00083A9E" w:rsidRPr="001D3940" w:rsidRDefault="00083A9E" w:rsidP="00722811">
            <w:pPr>
              <w:tabs>
                <w:tab w:val="center" w:pos="4680"/>
              </w:tabs>
              <w:snapToGrid w:val="0"/>
              <w:spacing w:before="120" w:after="120"/>
              <w:jc w:val="both"/>
              <w:rPr>
                <w:color w:val="auto"/>
                <w:sz w:val="20"/>
              </w:rPr>
            </w:pPr>
            <w:r w:rsidRPr="001D3940">
              <w:rPr>
                <w:i/>
                <w:color w:val="auto"/>
                <w:sz w:val="20"/>
              </w:rPr>
              <w:t>k</w:t>
            </w:r>
            <w:r w:rsidRPr="001D3940">
              <w:rPr>
                <w:color w:val="auto"/>
                <w:sz w:val="20"/>
              </w:rPr>
              <w:t>/cm</w:t>
            </w:r>
            <w:r w:rsidRPr="001D3940">
              <w:rPr>
                <w:color w:val="auto"/>
                <w:sz w:val="20"/>
                <w:vertAlign w:val="superscript"/>
              </w:rPr>
              <w:t>3</w:t>
            </w:r>
            <w:r w:rsidRPr="001D3940">
              <w:rPr>
                <w:color w:val="auto"/>
                <w:sz w:val="20"/>
              </w:rPr>
              <w:t xml:space="preserve"> molecule</w:t>
            </w:r>
            <w:r w:rsidRPr="001D3940">
              <w:rPr>
                <w:color w:val="auto"/>
                <w:sz w:val="20"/>
                <w:vertAlign w:val="superscript"/>
              </w:rPr>
              <w:t>-1</w:t>
            </w:r>
            <w:r w:rsidRPr="001D3940">
              <w:rPr>
                <w:color w:val="auto"/>
                <w:sz w:val="20"/>
              </w:rPr>
              <w:t xml:space="preserve"> s</w:t>
            </w:r>
            <w:r w:rsidRPr="001D3940">
              <w:rPr>
                <w:color w:val="auto"/>
                <w:sz w:val="20"/>
                <w:vertAlign w:val="superscript"/>
              </w:rPr>
              <w:t>-1</w:t>
            </w:r>
          </w:p>
        </w:tc>
        <w:tc>
          <w:tcPr>
            <w:tcW w:w="1418" w:type="dxa"/>
            <w:gridSpan w:val="2"/>
            <w:tcBorders>
              <w:top w:val="double" w:sz="1" w:space="0" w:color="000000"/>
              <w:bottom w:val="single" w:sz="4" w:space="0" w:color="000000"/>
            </w:tcBorders>
            <w:shd w:val="clear" w:color="auto" w:fill="auto"/>
          </w:tcPr>
          <w:p w14:paraId="59B90A9A" w14:textId="77777777" w:rsidR="00083A9E" w:rsidRPr="001D3940" w:rsidRDefault="00083A9E" w:rsidP="00722811">
            <w:pPr>
              <w:tabs>
                <w:tab w:val="center" w:pos="4680"/>
              </w:tabs>
              <w:snapToGrid w:val="0"/>
              <w:spacing w:before="120" w:after="120"/>
              <w:jc w:val="both"/>
              <w:rPr>
                <w:color w:val="auto"/>
                <w:sz w:val="20"/>
              </w:rPr>
            </w:pPr>
            <w:r w:rsidRPr="001D3940">
              <w:rPr>
                <w:color w:val="auto"/>
                <w:sz w:val="20"/>
              </w:rPr>
              <w:t>Temp./K</w:t>
            </w:r>
          </w:p>
        </w:tc>
        <w:tc>
          <w:tcPr>
            <w:tcW w:w="2267" w:type="dxa"/>
            <w:gridSpan w:val="2"/>
            <w:tcBorders>
              <w:top w:val="double" w:sz="1" w:space="0" w:color="000000"/>
              <w:bottom w:val="single" w:sz="4" w:space="0" w:color="000000"/>
            </w:tcBorders>
            <w:shd w:val="clear" w:color="auto" w:fill="auto"/>
          </w:tcPr>
          <w:p w14:paraId="2AD8A9B6" w14:textId="77777777" w:rsidR="00083A9E" w:rsidRPr="001D3940" w:rsidRDefault="00083A9E" w:rsidP="00722811">
            <w:pPr>
              <w:tabs>
                <w:tab w:val="center" w:pos="4680"/>
              </w:tabs>
              <w:snapToGrid w:val="0"/>
              <w:spacing w:before="120" w:after="120"/>
              <w:jc w:val="both"/>
              <w:rPr>
                <w:color w:val="auto"/>
                <w:sz w:val="20"/>
              </w:rPr>
            </w:pPr>
            <w:r w:rsidRPr="001D3940">
              <w:rPr>
                <w:color w:val="auto"/>
                <w:sz w:val="20"/>
              </w:rPr>
              <w:t>Reference</w:t>
            </w:r>
          </w:p>
        </w:tc>
        <w:tc>
          <w:tcPr>
            <w:tcW w:w="1985" w:type="dxa"/>
            <w:tcBorders>
              <w:top w:val="double" w:sz="1" w:space="0" w:color="000000"/>
              <w:bottom w:val="single" w:sz="4" w:space="0" w:color="000000"/>
            </w:tcBorders>
            <w:shd w:val="clear" w:color="auto" w:fill="auto"/>
          </w:tcPr>
          <w:p w14:paraId="54F376F2" w14:textId="77777777" w:rsidR="00083A9E" w:rsidRPr="001D3940" w:rsidRDefault="00083A9E" w:rsidP="00D8581C">
            <w:pPr>
              <w:tabs>
                <w:tab w:val="center" w:pos="4680"/>
              </w:tabs>
              <w:snapToGrid w:val="0"/>
              <w:spacing w:before="120" w:after="120"/>
              <w:ind w:left="-108"/>
              <w:jc w:val="both"/>
              <w:rPr>
                <w:color w:val="auto"/>
              </w:rPr>
            </w:pPr>
            <w:r w:rsidRPr="001D3940">
              <w:rPr>
                <w:color w:val="auto"/>
                <w:sz w:val="20"/>
              </w:rPr>
              <w:t>Technique/Comments</w:t>
            </w:r>
          </w:p>
        </w:tc>
      </w:tr>
      <w:tr w:rsidR="00083A9E" w:rsidRPr="00CA56DB" w14:paraId="3AC2B74A" w14:textId="77777777" w:rsidTr="00593DC5">
        <w:trPr>
          <w:gridAfter w:val="1"/>
          <w:wAfter w:w="121" w:type="dxa"/>
        </w:trPr>
        <w:tc>
          <w:tcPr>
            <w:tcW w:w="3358" w:type="dxa"/>
            <w:tcBorders>
              <w:top w:val="single" w:sz="4" w:space="0" w:color="000000"/>
            </w:tcBorders>
            <w:shd w:val="clear" w:color="auto" w:fill="auto"/>
          </w:tcPr>
          <w:p w14:paraId="408C78AF" w14:textId="77777777" w:rsidR="00083A9E" w:rsidRPr="00713905" w:rsidRDefault="00083A9E" w:rsidP="008D7B6A">
            <w:pPr>
              <w:spacing w:before="120"/>
              <w:rPr>
                <w:i/>
                <w:sz w:val="20"/>
              </w:rPr>
            </w:pPr>
            <w:r w:rsidRPr="00713905">
              <w:rPr>
                <w:i/>
                <w:sz w:val="20"/>
              </w:rPr>
              <w:t>Absolute Rate Coefficients</w:t>
            </w:r>
          </w:p>
        </w:tc>
        <w:tc>
          <w:tcPr>
            <w:tcW w:w="1276" w:type="dxa"/>
            <w:tcBorders>
              <w:top w:val="single" w:sz="4" w:space="0" w:color="000000"/>
            </w:tcBorders>
            <w:shd w:val="clear" w:color="auto" w:fill="auto"/>
          </w:tcPr>
          <w:p w14:paraId="67FEA677" w14:textId="77777777" w:rsidR="00083A9E" w:rsidRPr="00CA56DB" w:rsidRDefault="00083A9E" w:rsidP="008D7B6A">
            <w:pPr>
              <w:tabs>
                <w:tab w:val="center" w:pos="4680"/>
              </w:tabs>
              <w:snapToGrid w:val="0"/>
              <w:jc w:val="both"/>
              <w:rPr>
                <w:color w:val="auto"/>
                <w:sz w:val="20"/>
              </w:rPr>
            </w:pPr>
          </w:p>
        </w:tc>
        <w:tc>
          <w:tcPr>
            <w:tcW w:w="2409" w:type="dxa"/>
            <w:gridSpan w:val="3"/>
            <w:tcBorders>
              <w:top w:val="single" w:sz="4" w:space="0" w:color="000000"/>
            </w:tcBorders>
            <w:shd w:val="clear" w:color="auto" w:fill="auto"/>
          </w:tcPr>
          <w:p w14:paraId="2F451BB7" w14:textId="77777777" w:rsidR="00083A9E" w:rsidRPr="00CA56DB" w:rsidRDefault="00083A9E" w:rsidP="008D7B6A">
            <w:pPr>
              <w:tabs>
                <w:tab w:val="center" w:pos="4680"/>
              </w:tabs>
              <w:snapToGrid w:val="0"/>
              <w:jc w:val="both"/>
              <w:rPr>
                <w:color w:val="auto"/>
                <w:sz w:val="20"/>
              </w:rPr>
            </w:pPr>
          </w:p>
        </w:tc>
        <w:tc>
          <w:tcPr>
            <w:tcW w:w="1985" w:type="dxa"/>
            <w:tcBorders>
              <w:top w:val="single" w:sz="4" w:space="0" w:color="000000"/>
            </w:tcBorders>
            <w:shd w:val="clear" w:color="auto" w:fill="auto"/>
          </w:tcPr>
          <w:p w14:paraId="09451852" w14:textId="77777777" w:rsidR="00083A9E" w:rsidRPr="00CA56DB" w:rsidRDefault="00083A9E" w:rsidP="008D7B6A">
            <w:pPr>
              <w:tabs>
                <w:tab w:val="center" w:pos="4680"/>
              </w:tabs>
              <w:snapToGrid w:val="0"/>
              <w:jc w:val="both"/>
              <w:rPr>
                <w:color w:val="auto"/>
                <w:sz w:val="20"/>
              </w:rPr>
            </w:pPr>
          </w:p>
        </w:tc>
      </w:tr>
      <w:tr w:rsidR="00CA6D4F" w:rsidRPr="001D3940" w14:paraId="5BBFA34D" w14:textId="77777777" w:rsidTr="00593DC5">
        <w:tc>
          <w:tcPr>
            <w:tcW w:w="3358" w:type="dxa"/>
            <w:shd w:val="clear" w:color="auto" w:fill="auto"/>
          </w:tcPr>
          <w:p w14:paraId="5AFE5FE2" w14:textId="77777777" w:rsidR="00CA6D4F" w:rsidRPr="00574962" w:rsidRDefault="00CA6D4F" w:rsidP="00574962">
            <w:pPr>
              <w:ind w:right="-612"/>
              <w:jc w:val="both"/>
              <w:rPr>
                <w:i/>
                <w:sz w:val="20"/>
                <w:szCs w:val="24"/>
              </w:rPr>
            </w:pPr>
            <w:r>
              <w:rPr>
                <w:i/>
                <w:sz w:val="20"/>
              </w:rPr>
              <w:t>k</w:t>
            </w:r>
            <w:r>
              <w:rPr>
                <w:sz w:val="20"/>
                <w:vertAlign w:val="subscript"/>
              </w:rPr>
              <w:t>1</w:t>
            </w:r>
            <w:r w:rsidR="007830A8">
              <w:rPr>
                <w:sz w:val="20"/>
                <w:vertAlign w:val="subscript"/>
              </w:rPr>
              <w:t>(</w:t>
            </w:r>
            <w:r w:rsidR="007830A8" w:rsidRPr="007830A8">
              <w:rPr>
                <w:i/>
                <w:sz w:val="20"/>
                <w:vertAlign w:val="subscript"/>
              </w:rPr>
              <w:t>Z</w:t>
            </w:r>
            <w:r w:rsidR="007830A8">
              <w:rPr>
                <w:sz w:val="20"/>
                <w:vertAlign w:val="subscript"/>
              </w:rPr>
              <w:t>-)</w:t>
            </w:r>
            <w:r>
              <w:rPr>
                <w:sz w:val="20"/>
              </w:rPr>
              <w:t xml:space="preserve"> &lt; 4 × 10</w:t>
            </w:r>
            <w:r>
              <w:rPr>
                <w:sz w:val="20"/>
                <w:vertAlign w:val="superscript"/>
              </w:rPr>
              <w:t>−15</w:t>
            </w:r>
          </w:p>
        </w:tc>
        <w:tc>
          <w:tcPr>
            <w:tcW w:w="1276" w:type="dxa"/>
            <w:shd w:val="clear" w:color="auto" w:fill="auto"/>
          </w:tcPr>
          <w:p w14:paraId="6BB13E4F" w14:textId="77777777" w:rsidR="00CA6D4F" w:rsidRDefault="00CA6D4F" w:rsidP="00CA6D4F">
            <w:pPr>
              <w:overflowPunct w:val="0"/>
              <w:autoSpaceDE w:val="0"/>
              <w:autoSpaceDN w:val="0"/>
              <w:adjustRightInd w:val="0"/>
              <w:ind w:right="-612"/>
              <w:rPr>
                <w:sz w:val="20"/>
                <w:szCs w:val="24"/>
                <w:lang w:eastAsia="en-US"/>
              </w:rPr>
            </w:pPr>
            <w:r>
              <w:rPr>
                <w:sz w:val="20"/>
              </w:rPr>
              <w:t>298</w:t>
            </w:r>
          </w:p>
        </w:tc>
        <w:tc>
          <w:tcPr>
            <w:tcW w:w="2268" w:type="dxa"/>
            <w:gridSpan w:val="2"/>
            <w:shd w:val="clear" w:color="auto" w:fill="auto"/>
          </w:tcPr>
          <w:p w14:paraId="09B05B68" w14:textId="77777777" w:rsidR="00CA6D4F" w:rsidRDefault="00CA6D4F" w:rsidP="00CA6D4F">
            <w:pPr>
              <w:overflowPunct w:val="0"/>
              <w:autoSpaceDE w:val="0"/>
              <w:autoSpaceDN w:val="0"/>
              <w:adjustRightInd w:val="0"/>
              <w:ind w:right="-612"/>
              <w:rPr>
                <w:sz w:val="20"/>
                <w:szCs w:val="24"/>
                <w:lang w:eastAsia="en-US"/>
              </w:rPr>
            </w:pPr>
            <w:proofErr w:type="spellStart"/>
            <w:r>
              <w:rPr>
                <w:sz w:val="20"/>
              </w:rPr>
              <w:t>Taatjes</w:t>
            </w:r>
            <w:proofErr w:type="spellEnd"/>
            <w:r>
              <w:rPr>
                <w:sz w:val="20"/>
              </w:rPr>
              <w:t xml:space="preserve"> et al., 2013</w:t>
            </w:r>
          </w:p>
        </w:tc>
        <w:tc>
          <w:tcPr>
            <w:tcW w:w="2247" w:type="dxa"/>
            <w:gridSpan w:val="3"/>
            <w:shd w:val="clear" w:color="auto" w:fill="auto"/>
          </w:tcPr>
          <w:p w14:paraId="4DAF5E40" w14:textId="77777777" w:rsidR="00CA6D4F" w:rsidRDefault="00CA6D4F" w:rsidP="00CA6D4F">
            <w:pPr>
              <w:overflowPunct w:val="0"/>
              <w:autoSpaceDE w:val="0"/>
              <w:autoSpaceDN w:val="0"/>
              <w:adjustRightInd w:val="0"/>
              <w:ind w:right="-612"/>
              <w:jc w:val="both"/>
              <w:rPr>
                <w:sz w:val="20"/>
                <w:szCs w:val="24"/>
                <w:lang w:eastAsia="en-US"/>
              </w:rPr>
            </w:pPr>
            <w:r>
              <w:rPr>
                <w:sz w:val="20"/>
              </w:rPr>
              <w:t>PLP-PIMS (a)</w:t>
            </w:r>
          </w:p>
        </w:tc>
      </w:tr>
      <w:tr w:rsidR="00574962" w:rsidRPr="001D3940" w14:paraId="226E530D" w14:textId="77777777" w:rsidTr="00593DC5">
        <w:tc>
          <w:tcPr>
            <w:tcW w:w="3358" w:type="dxa"/>
            <w:shd w:val="clear" w:color="auto" w:fill="auto"/>
          </w:tcPr>
          <w:p w14:paraId="61E8A9F2" w14:textId="77777777" w:rsidR="00574962" w:rsidRDefault="00574962" w:rsidP="00CA6D4F">
            <w:pPr>
              <w:ind w:right="-612"/>
              <w:jc w:val="both"/>
              <w:rPr>
                <w:i/>
                <w:sz w:val="20"/>
              </w:rPr>
            </w:pPr>
            <w:r>
              <w:rPr>
                <w:i/>
                <w:sz w:val="20"/>
              </w:rPr>
              <w:t>k</w:t>
            </w:r>
            <w:r>
              <w:rPr>
                <w:sz w:val="20"/>
                <w:vertAlign w:val="subscript"/>
              </w:rPr>
              <w:t>1(</w:t>
            </w:r>
            <w:r w:rsidRPr="007830A8">
              <w:rPr>
                <w:i/>
                <w:sz w:val="20"/>
                <w:vertAlign w:val="subscript"/>
              </w:rPr>
              <w:t>E</w:t>
            </w:r>
            <w:r>
              <w:rPr>
                <w:sz w:val="20"/>
                <w:vertAlign w:val="subscript"/>
              </w:rPr>
              <w:t>-)</w:t>
            </w:r>
            <w:r>
              <w:rPr>
                <w:sz w:val="20"/>
              </w:rPr>
              <w:t xml:space="preserve"> = (1.0 ± 0.4) × 10</w:t>
            </w:r>
            <w:r>
              <w:rPr>
                <w:sz w:val="20"/>
                <w:vertAlign w:val="superscript"/>
              </w:rPr>
              <w:t>−14</w:t>
            </w:r>
          </w:p>
        </w:tc>
        <w:tc>
          <w:tcPr>
            <w:tcW w:w="1276" w:type="dxa"/>
            <w:shd w:val="clear" w:color="auto" w:fill="auto"/>
          </w:tcPr>
          <w:p w14:paraId="35CC951D" w14:textId="77777777" w:rsidR="00574962" w:rsidRDefault="00574962" w:rsidP="00CA6D4F">
            <w:pPr>
              <w:overflowPunct w:val="0"/>
              <w:autoSpaceDE w:val="0"/>
              <w:autoSpaceDN w:val="0"/>
              <w:adjustRightInd w:val="0"/>
              <w:ind w:right="-612"/>
              <w:rPr>
                <w:sz w:val="20"/>
              </w:rPr>
            </w:pPr>
            <w:r>
              <w:rPr>
                <w:sz w:val="20"/>
              </w:rPr>
              <w:t>298</w:t>
            </w:r>
          </w:p>
        </w:tc>
        <w:tc>
          <w:tcPr>
            <w:tcW w:w="2268" w:type="dxa"/>
            <w:gridSpan w:val="2"/>
            <w:shd w:val="clear" w:color="auto" w:fill="auto"/>
          </w:tcPr>
          <w:p w14:paraId="0481381B" w14:textId="77777777" w:rsidR="00574962" w:rsidRDefault="00574962" w:rsidP="00CA6D4F">
            <w:pPr>
              <w:overflowPunct w:val="0"/>
              <w:autoSpaceDE w:val="0"/>
              <w:autoSpaceDN w:val="0"/>
              <w:adjustRightInd w:val="0"/>
              <w:ind w:right="-612"/>
              <w:rPr>
                <w:sz w:val="20"/>
              </w:rPr>
            </w:pPr>
          </w:p>
        </w:tc>
        <w:tc>
          <w:tcPr>
            <w:tcW w:w="2247" w:type="dxa"/>
            <w:gridSpan w:val="3"/>
            <w:shd w:val="clear" w:color="auto" w:fill="auto"/>
          </w:tcPr>
          <w:p w14:paraId="6C520A9E" w14:textId="77777777" w:rsidR="00574962" w:rsidRDefault="00574962" w:rsidP="00CA6D4F">
            <w:pPr>
              <w:overflowPunct w:val="0"/>
              <w:autoSpaceDE w:val="0"/>
              <w:autoSpaceDN w:val="0"/>
              <w:adjustRightInd w:val="0"/>
              <w:ind w:right="-612"/>
              <w:jc w:val="both"/>
              <w:rPr>
                <w:sz w:val="20"/>
              </w:rPr>
            </w:pPr>
          </w:p>
        </w:tc>
      </w:tr>
      <w:tr w:rsidR="00CA6D4F" w:rsidRPr="001D3940" w14:paraId="7D9D9BA3" w14:textId="77777777" w:rsidTr="00593DC5">
        <w:tc>
          <w:tcPr>
            <w:tcW w:w="3358" w:type="dxa"/>
            <w:shd w:val="clear" w:color="auto" w:fill="auto"/>
          </w:tcPr>
          <w:p w14:paraId="7D74D2BD" w14:textId="77777777" w:rsidR="00CA6D4F" w:rsidRPr="00574962" w:rsidRDefault="00CA6D4F" w:rsidP="00574962">
            <w:pPr>
              <w:tabs>
                <w:tab w:val="left" w:pos="2313"/>
              </w:tabs>
              <w:ind w:right="-612"/>
              <w:jc w:val="both"/>
              <w:rPr>
                <w:i/>
                <w:sz w:val="20"/>
                <w:szCs w:val="24"/>
              </w:rPr>
            </w:pPr>
            <w:r>
              <w:rPr>
                <w:i/>
                <w:sz w:val="20"/>
              </w:rPr>
              <w:t>k</w:t>
            </w:r>
            <w:r>
              <w:rPr>
                <w:sz w:val="20"/>
                <w:vertAlign w:val="subscript"/>
              </w:rPr>
              <w:t>1</w:t>
            </w:r>
            <w:r w:rsidR="007830A8">
              <w:rPr>
                <w:sz w:val="20"/>
                <w:vertAlign w:val="subscript"/>
              </w:rPr>
              <w:t>(</w:t>
            </w:r>
            <w:r w:rsidR="007830A8" w:rsidRPr="007830A8">
              <w:rPr>
                <w:i/>
                <w:sz w:val="20"/>
                <w:vertAlign w:val="subscript"/>
              </w:rPr>
              <w:t>Z</w:t>
            </w:r>
            <w:r w:rsidR="007830A8">
              <w:rPr>
                <w:sz w:val="20"/>
                <w:vertAlign w:val="subscript"/>
              </w:rPr>
              <w:t>-)</w:t>
            </w:r>
            <w:r>
              <w:rPr>
                <w:sz w:val="20"/>
              </w:rPr>
              <w:t xml:space="preserve"> &lt; 2 × 10</w:t>
            </w:r>
            <w:r>
              <w:rPr>
                <w:sz w:val="20"/>
                <w:vertAlign w:val="superscript"/>
              </w:rPr>
              <w:t>−16</w:t>
            </w:r>
            <w:r>
              <w:rPr>
                <w:i/>
                <w:sz w:val="20"/>
              </w:rPr>
              <w:tab/>
            </w:r>
          </w:p>
        </w:tc>
        <w:tc>
          <w:tcPr>
            <w:tcW w:w="1276" w:type="dxa"/>
            <w:shd w:val="clear" w:color="auto" w:fill="auto"/>
          </w:tcPr>
          <w:p w14:paraId="05C5A5A2" w14:textId="77777777" w:rsidR="00CA6D4F" w:rsidRDefault="00CA6D4F" w:rsidP="00CA6D4F">
            <w:pPr>
              <w:overflowPunct w:val="0"/>
              <w:autoSpaceDE w:val="0"/>
              <w:autoSpaceDN w:val="0"/>
              <w:adjustRightInd w:val="0"/>
              <w:ind w:right="-612"/>
              <w:rPr>
                <w:sz w:val="20"/>
                <w:szCs w:val="24"/>
                <w:lang w:eastAsia="en-US"/>
              </w:rPr>
            </w:pPr>
            <w:r>
              <w:rPr>
                <w:sz w:val="20"/>
              </w:rPr>
              <w:t>293</w:t>
            </w:r>
          </w:p>
        </w:tc>
        <w:tc>
          <w:tcPr>
            <w:tcW w:w="2268" w:type="dxa"/>
            <w:gridSpan w:val="2"/>
            <w:shd w:val="clear" w:color="auto" w:fill="auto"/>
          </w:tcPr>
          <w:p w14:paraId="0A6FECD4" w14:textId="77777777" w:rsidR="00CA6D4F" w:rsidRDefault="00CA6D4F" w:rsidP="00CA6D4F">
            <w:pPr>
              <w:overflowPunct w:val="0"/>
              <w:autoSpaceDE w:val="0"/>
              <w:autoSpaceDN w:val="0"/>
              <w:adjustRightInd w:val="0"/>
              <w:ind w:right="-612"/>
              <w:rPr>
                <w:sz w:val="20"/>
                <w:szCs w:val="24"/>
                <w:lang w:eastAsia="en-US"/>
              </w:rPr>
            </w:pPr>
            <w:proofErr w:type="spellStart"/>
            <w:r>
              <w:rPr>
                <w:sz w:val="20"/>
              </w:rPr>
              <w:t>Sheps</w:t>
            </w:r>
            <w:proofErr w:type="spellEnd"/>
            <w:r>
              <w:rPr>
                <w:sz w:val="20"/>
              </w:rPr>
              <w:t xml:space="preserve"> et al., 2014</w:t>
            </w:r>
          </w:p>
        </w:tc>
        <w:tc>
          <w:tcPr>
            <w:tcW w:w="2247" w:type="dxa"/>
            <w:gridSpan w:val="3"/>
            <w:shd w:val="clear" w:color="auto" w:fill="auto"/>
          </w:tcPr>
          <w:p w14:paraId="02DD449B" w14:textId="77777777" w:rsidR="00CA6D4F" w:rsidRDefault="00CA6D4F" w:rsidP="00CA6D4F">
            <w:pPr>
              <w:overflowPunct w:val="0"/>
              <w:autoSpaceDE w:val="0"/>
              <w:autoSpaceDN w:val="0"/>
              <w:adjustRightInd w:val="0"/>
              <w:ind w:right="-612"/>
              <w:jc w:val="both"/>
              <w:rPr>
                <w:sz w:val="20"/>
                <w:szCs w:val="24"/>
                <w:lang w:eastAsia="en-US"/>
              </w:rPr>
            </w:pPr>
            <w:r>
              <w:rPr>
                <w:sz w:val="20"/>
              </w:rPr>
              <w:t>CE-UVAS (b)</w:t>
            </w:r>
          </w:p>
        </w:tc>
      </w:tr>
      <w:tr w:rsidR="00574962" w:rsidRPr="001D3940" w14:paraId="31C76836" w14:textId="77777777" w:rsidTr="00593DC5">
        <w:tc>
          <w:tcPr>
            <w:tcW w:w="3358" w:type="dxa"/>
            <w:shd w:val="clear" w:color="auto" w:fill="auto"/>
          </w:tcPr>
          <w:p w14:paraId="2268B84D" w14:textId="77777777" w:rsidR="00574962" w:rsidRDefault="00574962" w:rsidP="00CA6D4F">
            <w:pPr>
              <w:tabs>
                <w:tab w:val="left" w:pos="2313"/>
              </w:tabs>
              <w:ind w:right="-612"/>
              <w:jc w:val="both"/>
              <w:rPr>
                <w:i/>
                <w:sz w:val="20"/>
              </w:rPr>
            </w:pPr>
            <w:r>
              <w:rPr>
                <w:i/>
                <w:sz w:val="20"/>
              </w:rPr>
              <w:t>k</w:t>
            </w:r>
            <w:r>
              <w:rPr>
                <w:sz w:val="20"/>
                <w:vertAlign w:val="subscript"/>
              </w:rPr>
              <w:t>1(</w:t>
            </w:r>
            <w:r w:rsidRPr="007830A8">
              <w:rPr>
                <w:i/>
                <w:sz w:val="20"/>
                <w:vertAlign w:val="subscript"/>
              </w:rPr>
              <w:t>E</w:t>
            </w:r>
            <w:r>
              <w:rPr>
                <w:sz w:val="20"/>
                <w:vertAlign w:val="subscript"/>
              </w:rPr>
              <w:t>-)</w:t>
            </w:r>
            <w:r>
              <w:rPr>
                <w:sz w:val="20"/>
              </w:rPr>
              <w:t xml:space="preserve"> = (2.4 ± 0.4) × 10</w:t>
            </w:r>
            <w:r>
              <w:rPr>
                <w:sz w:val="20"/>
                <w:vertAlign w:val="superscript"/>
              </w:rPr>
              <w:t>−14</w:t>
            </w:r>
          </w:p>
        </w:tc>
        <w:tc>
          <w:tcPr>
            <w:tcW w:w="1276" w:type="dxa"/>
            <w:shd w:val="clear" w:color="auto" w:fill="auto"/>
          </w:tcPr>
          <w:p w14:paraId="267324BC" w14:textId="77777777" w:rsidR="00574962" w:rsidRDefault="00574962" w:rsidP="00CA6D4F">
            <w:pPr>
              <w:overflowPunct w:val="0"/>
              <w:autoSpaceDE w:val="0"/>
              <w:autoSpaceDN w:val="0"/>
              <w:adjustRightInd w:val="0"/>
              <w:ind w:right="-612"/>
              <w:rPr>
                <w:sz w:val="20"/>
              </w:rPr>
            </w:pPr>
            <w:r>
              <w:rPr>
                <w:sz w:val="20"/>
              </w:rPr>
              <w:t>293</w:t>
            </w:r>
          </w:p>
        </w:tc>
        <w:tc>
          <w:tcPr>
            <w:tcW w:w="2268" w:type="dxa"/>
            <w:gridSpan w:val="2"/>
            <w:shd w:val="clear" w:color="auto" w:fill="auto"/>
          </w:tcPr>
          <w:p w14:paraId="2A551411" w14:textId="77777777" w:rsidR="00574962" w:rsidRDefault="00574962" w:rsidP="00CA6D4F">
            <w:pPr>
              <w:overflowPunct w:val="0"/>
              <w:autoSpaceDE w:val="0"/>
              <w:autoSpaceDN w:val="0"/>
              <w:adjustRightInd w:val="0"/>
              <w:ind w:right="-612"/>
              <w:rPr>
                <w:sz w:val="20"/>
              </w:rPr>
            </w:pPr>
          </w:p>
        </w:tc>
        <w:tc>
          <w:tcPr>
            <w:tcW w:w="2247" w:type="dxa"/>
            <w:gridSpan w:val="3"/>
            <w:shd w:val="clear" w:color="auto" w:fill="auto"/>
          </w:tcPr>
          <w:p w14:paraId="1CEFACDD" w14:textId="77777777" w:rsidR="00574962" w:rsidRDefault="00574962" w:rsidP="00CA6D4F">
            <w:pPr>
              <w:overflowPunct w:val="0"/>
              <w:autoSpaceDE w:val="0"/>
              <w:autoSpaceDN w:val="0"/>
              <w:adjustRightInd w:val="0"/>
              <w:ind w:right="-612"/>
              <w:jc w:val="both"/>
              <w:rPr>
                <w:sz w:val="20"/>
              </w:rPr>
            </w:pPr>
          </w:p>
        </w:tc>
      </w:tr>
      <w:tr w:rsidR="00574962" w:rsidRPr="001D3940" w14:paraId="02894861" w14:textId="77777777" w:rsidTr="00593DC5">
        <w:tc>
          <w:tcPr>
            <w:tcW w:w="3358" w:type="dxa"/>
            <w:shd w:val="clear" w:color="auto" w:fill="auto"/>
          </w:tcPr>
          <w:p w14:paraId="49F5B5DC" w14:textId="77777777" w:rsidR="00574962" w:rsidRDefault="00B56648" w:rsidP="00B56648">
            <w:pPr>
              <w:tabs>
                <w:tab w:val="left" w:pos="2313"/>
              </w:tabs>
              <w:ind w:right="-612"/>
              <w:jc w:val="both"/>
              <w:rPr>
                <w:i/>
                <w:sz w:val="20"/>
              </w:rPr>
            </w:pPr>
            <w:r>
              <w:rPr>
                <w:i/>
                <w:sz w:val="20"/>
              </w:rPr>
              <w:t>k</w:t>
            </w:r>
            <w:r>
              <w:rPr>
                <w:sz w:val="20"/>
                <w:vertAlign w:val="subscript"/>
              </w:rPr>
              <w:t>1(</w:t>
            </w:r>
            <w:r w:rsidRPr="007830A8">
              <w:rPr>
                <w:i/>
                <w:sz w:val="20"/>
                <w:vertAlign w:val="subscript"/>
              </w:rPr>
              <w:t>E</w:t>
            </w:r>
            <w:r>
              <w:rPr>
                <w:sz w:val="20"/>
                <w:vertAlign w:val="subscript"/>
              </w:rPr>
              <w:t>-)</w:t>
            </w:r>
            <w:r>
              <w:rPr>
                <w:sz w:val="20"/>
              </w:rPr>
              <w:t xml:space="preserve"> = (1.31 ± 0.26) × 10</w:t>
            </w:r>
            <w:r>
              <w:rPr>
                <w:sz w:val="20"/>
                <w:vertAlign w:val="superscript"/>
              </w:rPr>
              <w:t>−14</w:t>
            </w:r>
          </w:p>
        </w:tc>
        <w:tc>
          <w:tcPr>
            <w:tcW w:w="1276" w:type="dxa"/>
            <w:shd w:val="clear" w:color="auto" w:fill="auto"/>
          </w:tcPr>
          <w:p w14:paraId="724E9561" w14:textId="77777777" w:rsidR="00574962" w:rsidRDefault="00B56648" w:rsidP="00CA6D4F">
            <w:pPr>
              <w:overflowPunct w:val="0"/>
              <w:autoSpaceDE w:val="0"/>
              <w:autoSpaceDN w:val="0"/>
              <w:adjustRightInd w:val="0"/>
              <w:ind w:right="-612"/>
              <w:rPr>
                <w:sz w:val="20"/>
              </w:rPr>
            </w:pPr>
            <w:r>
              <w:rPr>
                <w:sz w:val="20"/>
              </w:rPr>
              <w:t>298</w:t>
            </w:r>
          </w:p>
        </w:tc>
        <w:tc>
          <w:tcPr>
            <w:tcW w:w="2268" w:type="dxa"/>
            <w:gridSpan w:val="2"/>
            <w:shd w:val="clear" w:color="auto" w:fill="auto"/>
          </w:tcPr>
          <w:p w14:paraId="4BC5AFFC" w14:textId="77777777" w:rsidR="00574962" w:rsidRDefault="00B56648" w:rsidP="00CA6D4F">
            <w:pPr>
              <w:overflowPunct w:val="0"/>
              <w:autoSpaceDE w:val="0"/>
              <w:autoSpaceDN w:val="0"/>
              <w:adjustRightInd w:val="0"/>
              <w:ind w:right="-612"/>
              <w:rPr>
                <w:sz w:val="20"/>
              </w:rPr>
            </w:pPr>
            <w:r>
              <w:rPr>
                <w:sz w:val="20"/>
              </w:rPr>
              <w:t>Lin et al., 2016</w:t>
            </w:r>
          </w:p>
        </w:tc>
        <w:tc>
          <w:tcPr>
            <w:tcW w:w="2247" w:type="dxa"/>
            <w:gridSpan w:val="3"/>
            <w:shd w:val="clear" w:color="auto" w:fill="auto"/>
          </w:tcPr>
          <w:p w14:paraId="79FD3939" w14:textId="77777777" w:rsidR="00574962" w:rsidRDefault="00B56648" w:rsidP="00CA6D4F">
            <w:pPr>
              <w:overflowPunct w:val="0"/>
              <w:autoSpaceDE w:val="0"/>
              <w:autoSpaceDN w:val="0"/>
              <w:adjustRightInd w:val="0"/>
              <w:ind w:right="-612"/>
              <w:jc w:val="both"/>
              <w:rPr>
                <w:sz w:val="20"/>
              </w:rPr>
            </w:pPr>
            <w:r>
              <w:rPr>
                <w:sz w:val="20"/>
              </w:rPr>
              <w:t>PLP-UVAS (c)</w:t>
            </w:r>
          </w:p>
        </w:tc>
      </w:tr>
      <w:tr w:rsidR="00574962" w:rsidRPr="001D3940" w14:paraId="4E4DC093" w14:textId="77777777" w:rsidTr="00593DC5">
        <w:tc>
          <w:tcPr>
            <w:tcW w:w="3358" w:type="dxa"/>
            <w:shd w:val="clear" w:color="auto" w:fill="auto"/>
          </w:tcPr>
          <w:p w14:paraId="67AA70B3" w14:textId="77777777" w:rsidR="00574962" w:rsidRPr="003C33D3" w:rsidRDefault="00B56648" w:rsidP="00593DC5">
            <w:pPr>
              <w:tabs>
                <w:tab w:val="left" w:pos="2313"/>
              </w:tabs>
              <w:ind w:right="-612"/>
              <w:jc w:val="both"/>
              <w:rPr>
                <w:i/>
                <w:sz w:val="20"/>
              </w:rPr>
            </w:pPr>
            <w:r>
              <w:rPr>
                <w:i/>
                <w:sz w:val="20"/>
              </w:rPr>
              <w:t>k</w:t>
            </w:r>
            <w:r>
              <w:rPr>
                <w:sz w:val="20"/>
                <w:vertAlign w:val="subscript"/>
              </w:rPr>
              <w:t>1(</w:t>
            </w:r>
            <w:r w:rsidRPr="007830A8">
              <w:rPr>
                <w:i/>
                <w:sz w:val="20"/>
                <w:vertAlign w:val="subscript"/>
              </w:rPr>
              <w:t>E</w:t>
            </w:r>
            <w:r>
              <w:rPr>
                <w:sz w:val="20"/>
                <w:vertAlign w:val="subscript"/>
              </w:rPr>
              <w:t>-)</w:t>
            </w:r>
            <w:r>
              <w:rPr>
                <w:sz w:val="20"/>
              </w:rPr>
              <w:t xml:space="preserve"> = </w:t>
            </w:r>
            <w:r w:rsidR="003C33D3">
              <w:rPr>
                <w:sz w:val="20"/>
              </w:rPr>
              <w:t>1.11 × 10</w:t>
            </w:r>
            <w:r w:rsidR="003C33D3">
              <w:rPr>
                <w:sz w:val="20"/>
                <w:vertAlign w:val="superscript"/>
              </w:rPr>
              <w:t>−14</w:t>
            </w:r>
            <w:r w:rsidR="003C33D3">
              <w:rPr>
                <w:sz w:val="20"/>
              </w:rPr>
              <w:t xml:space="preserve"> </w:t>
            </w:r>
            <w:proofErr w:type="gramStart"/>
            <w:r w:rsidR="003C33D3">
              <w:rPr>
                <w:sz w:val="20"/>
              </w:rPr>
              <w:t>exp[</w:t>
            </w:r>
            <w:proofErr w:type="gramEnd"/>
            <w:r w:rsidR="003C33D3">
              <w:rPr>
                <w:sz w:val="20"/>
              </w:rPr>
              <w:t>(50 ± 64</w:t>
            </w:r>
            <w:r w:rsidR="00593DC5">
              <w:rPr>
                <w:sz w:val="20"/>
              </w:rPr>
              <w:t>4</w:t>
            </w:r>
            <w:r w:rsidR="003C33D3">
              <w:rPr>
                <w:sz w:val="20"/>
              </w:rPr>
              <w:t>)/</w:t>
            </w:r>
            <w:r w:rsidR="003C33D3" w:rsidRPr="003C33D3">
              <w:rPr>
                <w:i/>
                <w:sz w:val="20"/>
              </w:rPr>
              <w:t>T</w:t>
            </w:r>
            <w:r w:rsidR="003C33D3">
              <w:rPr>
                <w:sz w:val="20"/>
              </w:rPr>
              <w:t>]</w:t>
            </w:r>
          </w:p>
        </w:tc>
        <w:tc>
          <w:tcPr>
            <w:tcW w:w="1276" w:type="dxa"/>
            <w:shd w:val="clear" w:color="auto" w:fill="auto"/>
          </w:tcPr>
          <w:p w14:paraId="10B27D77" w14:textId="77777777" w:rsidR="00574962" w:rsidRDefault="00B56648" w:rsidP="00CA6D4F">
            <w:pPr>
              <w:overflowPunct w:val="0"/>
              <w:autoSpaceDE w:val="0"/>
              <w:autoSpaceDN w:val="0"/>
              <w:adjustRightInd w:val="0"/>
              <w:ind w:right="-612"/>
              <w:rPr>
                <w:sz w:val="20"/>
              </w:rPr>
            </w:pPr>
            <w:r>
              <w:rPr>
                <w:sz w:val="20"/>
              </w:rPr>
              <w:t>288-328</w:t>
            </w:r>
          </w:p>
        </w:tc>
        <w:tc>
          <w:tcPr>
            <w:tcW w:w="2268" w:type="dxa"/>
            <w:gridSpan w:val="2"/>
            <w:shd w:val="clear" w:color="auto" w:fill="auto"/>
          </w:tcPr>
          <w:p w14:paraId="2A840111" w14:textId="77777777" w:rsidR="00574962" w:rsidRDefault="00574962" w:rsidP="00CA6D4F">
            <w:pPr>
              <w:overflowPunct w:val="0"/>
              <w:autoSpaceDE w:val="0"/>
              <w:autoSpaceDN w:val="0"/>
              <w:adjustRightInd w:val="0"/>
              <w:ind w:right="-612"/>
              <w:rPr>
                <w:sz w:val="20"/>
              </w:rPr>
            </w:pPr>
          </w:p>
        </w:tc>
        <w:tc>
          <w:tcPr>
            <w:tcW w:w="2247" w:type="dxa"/>
            <w:gridSpan w:val="3"/>
            <w:shd w:val="clear" w:color="auto" w:fill="auto"/>
          </w:tcPr>
          <w:p w14:paraId="2529C3EA" w14:textId="77777777" w:rsidR="00574962" w:rsidRDefault="00574962" w:rsidP="00CA6D4F">
            <w:pPr>
              <w:overflowPunct w:val="0"/>
              <w:autoSpaceDE w:val="0"/>
              <w:autoSpaceDN w:val="0"/>
              <w:adjustRightInd w:val="0"/>
              <w:ind w:right="-612"/>
              <w:jc w:val="both"/>
              <w:rPr>
                <w:sz w:val="20"/>
              </w:rPr>
            </w:pPr>
          </w:p>
        </w:tc>
      </w:tr>
      <w:tr w:rsidR="00B56648" w:rsidRPr="001D3940" w14:paraId="0167557E" w14:textId="77777777" w:rsidTr="00593DC5">
        <w:tc>
          <w:tcPr>
            <w:tcW w:w="3358" w:type="dxa"/>
            <w:shd w:val="clear" w:color="auto" w:fill="auto"/>
          </w:tcPr>
          <w:p w14:paraId="17E195B5" w14:textId="77777777" w:rsidR="00B56648" w:rsidRDefault="00B56648" w:rsidP="00B56648">
            <w:pPr>
              <w:tabs>
                <w:tab w:val="left" w:pos="2313"/>
              </w:tabs>
              <w:ind w:right="-612"/>
              <w:jc w:val="both"/>
              <w:rPr>
                <w:i/>
                <w:sz w:val="20"/>
              </w:rPr>
            </w:pPr>
            <w:r>
              <w:rPr>
                <w:i/>
                <w:sz w:val="20"/>
              </w:rPr>
              <w:t>k</w:t>
            </w:r>
            <w:r>
              <w:rPr>
                <w:sz w:val="20"/>
                <w:vertAlign w:val="subscript"/>
              </w:rPr>
              <w:t>2(</w:t>
            </w:r>
            <w:r w:rsidRPr="007830A8">
              <w:rPr>
                <w:i/>
                <w:sz w:val="20"/>
                <w:vertAlign w:val="subscript"/>
              </w:rPr>
              <w:t>E</w:t>
            </w:r>
            <w:r>
              <w:rPr>
                <w:sz w:val="20"/>
                <w:vertAlign w:val="subscript"/>
              </w:rPr>
              <w:t>-)</w:t>
            </w:r>
            <w:r>
              <w:rPr>
                <w:sz w:val="20"/>
              </w:rPr>
              <w:t xml:space="preserve"> = (4.40 ± 0.29) × 10</w:t>
            </w:r>
            <w:r>
              <w:rPr>
                <w:sz w:val="20"/>
                <w:vertAlign w:val="superscript"/>
              </w:rPr>
              <w:t>−11</w:t>
            </w:r>
          </w:p>
        </w:tc>
        <w:tc>
          <w:tcPr>
            <w:tcW w:w="1276" w:type="dxa"/>
            <w:shd w:val="clear" w:color="auto" w:fill="auto"/>
          </w:tcPr>
          <w:p w14:paraId="4438ED1D" w14:textId="77777777" w:rsidR="00B56648" w:rsidRDefault="00B56648" w:rsidP="00A814E7">
            <w:pPr>
              <w:overflowPunct w:val="0"/>
              <w:autoSpaceDE w:val="0"/>
              <w:autoSpaceDN w:val="0"/>
              <w:adjustRightInd w:val="0"/>
              <w:ind w:right="-612"/>
              <w:rPr>
                <w:sz w:val="20"/>
              </w:rPr>
            </w:pPr>
            <w:r>
              <w:rPr>
                <w:sz w:val="20"/>
              </w:rPr>
              <w:t>298</w:t>
            </w:r>
          </w:p>
        </w:tc>
        <w:tc>
          <w:tcPr>
            <w:tcW w:w="2268" w:type="dxa"/>
            <w:gridSpan w:val="2"/>
            <w:shd w:val="clear" w:color="auto" w:fill="auto"/>
          </w:tcPr>
          <w:p w14:paraId="56ED3964" w14:textId="77777777" w:rsidR="00B56648" w:rsidRDefault="00B56648" w:rsidP="00CA6D4F">
            <w:pPr>
              <w:overflowPunct w:val="0"/>
              <w:autoSpaceDE w:val="0"/>
              <w:autoSpaceDN w:val="0"/>
              <w:adjustRightInd w:val="0"/>
              <w:ind w:right="-612"/>
              <w:rPr>
                <w:sz w:val="20"/>
              </w:rPr>
            </w:pPr>
          </w:p>
        </w:tc>
        <w:tc>
          <w:tcPr>
            <w:tcW w:w="2247" w:type="dxa"/>
            <w:gridSpan w:val="3"/>
            <w:shd w:val="clear" w:color="auto" w:fill="auto"/>
          </w:tcPr>
          <w:p w14:paraId="65BF9295" w14:textId="77777777" w:rsidR="00B56648" w:rsidRDefault="00B56648" w:rsidP="00CA6D4F">
            <w:pPr>
              <w:overflowPunct w:val="0"/>
              <w:autoSpaceDE w:val="0"/>
              <w:autoSpaceDN w:val="0"/>
              <w:adjustRightInd w:val="0"/>
              <w:ind w:right="-612"/>
              <w:jc w:val="both"/>
              <w:rPr>
                <w:sz w:val="20"/>
              </w:rPr>
            </w:pPr>
          </w:p>
        </w:tc>
      </w:tr>
      <w:tr w:rsidR="00B56648" w:rsidRPr="001D3940" w14:paraId="2B9CDBA9" w14:textId="77777777" w:rsidTr="00593DC5">
        <w:tc>
          <w:tcPr>
            <w:tcW w:w="3358" w:type="dxa"/>
            <w:shd w:val="clear" w:color="auto" w:fill="auto"/>
          </w:tcPr>
          <w:p w14:paraId="744783CF" w14:textId="77777777" w:rsidR="00B56648" w:rsidRDefault="00B56648" w:rsidP="00593DC5">
            <w:pPr>
              <w:tabs>
                <w:tab w:val="left" w:pos="2313"/>
              </w:tabs>
              <w:ind w:right="-612"/>
              <w:jc w:val="both"/>
              <w:rPr>
                <w:i/>
                <w:sz w:val="20"/>
              </w:rPr>
            </w:pPr>
            <w:r>
              <w:rPr>
                <w:i/>
                <w:sz w:val="20"/>
              </w:rPr>
              <w:t>k</w:t>
            </w:r>
            <w:r>
              <w:rPr>
                <w:sz w:val="20"/>
                <w:vertAlign w:val="subscript"/>
              </w:rPr>
              <w:t>2(</w:t>
            </w:r>
            <w:r w:rsidRPr="007830A8">
              <w:rPr>
                <w:i/>
                <w:sz w:val="20"/>
                <w:vertAlign w:val="subscript"/>
              </w:rPr>
              <w:t>E</w:t>
            </w:r>
            <w:r>
              <w:rPr>
                <w:sz w:val="20"/>
                <w:vertAlign w:val="subscript"/>
              </w:rPr>
              <w:t>-)</w:t>
            </w:r>
            <w:r>
              <w:rPr>
                <w:sz w:val="20"/>
              </w:rPr>
              <w:t xml:space="preserve"> = </w:t>
            </w:r>
            <w:r w:rsidR="00593DC5">
              <w:rPr>
                <w:sz w:val="20"/>
              </w:rPr>
              <w:t>5.2</w:t>
            </w:r>
            <w:r w:rsidR="00A6457E">
              <w:rPr>
                <w:sz w:val="20"/>
              </w:rPr>
              <w:t>1</w:t>
            </w:r>
            <w:r w:rsidR="00593DC5">
              <w:rPr>
                <w:sz w:val="20"/>
              </w:rPr>
              <w:t xml:space="preserve"> × 10</w:t>
            </w:r>
            <w:r w:rsidR="00593DC5">
              <w:rPr>
                <w:sz w:val="20"/>
                <w:vertAlign w:val="superscript"/>
              </w:rPr>
              <w:t>−20</w:t>
            </w:r>
            <w:r w:rsidR="00593DC5">
              <w:rPr>
                <w:sz w:val="20"/>
              </w:rPr>
              <w:t xml:space="preserve"> </w:t>
            </w:r>
            <w:proofErr w:type="gramStart"/>
            <w:r w:rsidR="00593DC5">
              <w:rPr>
                <w:sz w:val="20"/>
              </w:rPr>
              <w:t>exp[</w:t>
            </w:r>
            <w:proofErr w:type="gramEnd"/>
            <w:r w:rsidR="00593DC5">
              <w:rPr>
                <w:sz w:val="20"/>
              </w:rPr>
              <w:t>(612</w:t>
            </w:r>
            <w:r w:rsidR="00A6457E">
              <w:rPr>
                <w:sz w:val="20"/>
              </w:rPr>
              <w:t>5</w:t>
            </w:r>
            <w:r w:rsidR="00593DC5">
              <w:rPr>
                <w:sz w:val="20"/>
              </w:rPr>
              <w:t xml:space="preserve"> ± 332)/</w:t>
            </w:r>
            <w:r w:rsidR="00593DC5" w:rsidRPr="003C33D3">
              <w:rPr>
                <w:i/>
                <w:sz w:val="20"/>
              </w:rPr>
              <w:t>T</w:t>
            </w:r>
            <w:r w:rsidR="00593DC5">
              <w:rPr>
                <w:sz w:val="20"/>
              </w:rPr>
              <w:t>]</w:t>
            </w:r>
          </w:p>
        </w:tc>
        <w:tc>
          <w:tcPr>
            <w:tcW w:w="1276" w:type="dxa"/>
            <w:shd w:val="clear" w:color="auto" w:fill="auto"/>
          </w:tcPr>
          <w:p w14:paraId="76988F83" w14:textId="77777777" w:rsidR="00B56648" w:rsidRDefault="00B56648" w:rsidP="00A814E7">
            <w:pPr>
              <w:overflowPunct w:val="0"/>
              <w:autoSpaceDE w:val="0"/>
              <w:autoSpaceDN w:val="0"/>
              <w:adjustRightInd w:val="0"/>
              <w:ind w:right="-612"/>
              <w:rPr>
                <w:sz w:val="20"/>
              </w:rPr>
            </w:pPr>
            <w:r>
              <w:rPr>
                <w:sz w:val="20"/>
              </w:rPr>
              <w:t>288-328</w:t>
            </w:r>
          </w:p>
        </w:tc>
        <w:tc>
          <w:tcPr>
            <w:tcW w:w="2268" w:type="dxa"/>
            <w:gridSpan w:val="2"/>
            <w:shd w:val="clear" w:color="auto" w:fill="auto"/>
          </w:tcPr>
          <w:p w14:paraId="55C68EF2" w14:textId="77777777" w:rsidR="00B56648" w:rsidRDefault="00B56648" w:rsidP="00CA6D4F">
            <w:pPr>
              <w:overflowPunct w:val="0"/>
              <w:autoSpaceDE w:val="0"/>
              <w:autoSpaceDN w:val="0"/>
              <w:adjustRightInd w:val="0"/>
              <w:ind w:right="-612"/>
              <w:rPr>
                <w:sz w:val="20"/>
              </w:rPr>
            </w:pPr>
          </w:p>
        </w:tc>
        <w:tc>
          <w:tcPr>
            <w:tcW w:w="2247" w:type="dxa"/>
            <w:gridSpan w:val="3"/>
            <w:shd w:val="clear" w:color="auto" w:fill="auto"/>
          </w:tcPr>
          <w:p w14:paraId="3D66CB95" w14:textId="77777777" w:rsidR="00B56648" w:rsidRDefault="00B56648" w:rsidP="00CA6D4F">
            <w:pPr>
              <w:overflowPunct w:val="0"/>
              <w:autoSpaceDE w:val="0"/>
              <w:autoSpaceDN w:val="0"/>
              <w:adjustRightInd w:val="0"/>
              <w:ind w:right="-612"/>
              <w:jc w:val="both"/>
              <w:rPr>
                <w:sz w:val="20"/>
              </w:rPr>
            </w:pPr>
          </w:p>
        </w:tc>
      </w:tr>
      <w:tr w:rsidR="00B56648" w:rsidRPr="001D3940" w14:paraId="2FF31736" w14:textId="77777777" w:rsidTr="00593DC5">
        <w:tc>
          <w:tcPr>
            <w:tcW w:w="3358" w:type="dxa"/>
            <w:shd w:val="clear" w:color="auto" w:fill="auto"/>
          </w:tcPr>
          <w:p w14:paraId="3BA3B5A4" w14:textId="77777777" w:rsidR="00B56648" w:rsidRDefault="00B56648" w:rsidP="00CA6D4F">
            <w:pPr>
              <w:tabs>
                <w:tab w:val="left" w:pos="2313"/>
              </w:tabs>
              <w:ind w:right="-612"/>
              <w:jc w:val="both"/>
              <w:rPr>
                <w:i/>
                <w:sz w:val="20"/>
              </w:rPr>
            </w:pPr>
          </w:p>
        </w:tc>
        <w:tc>
          <w:tcPr>
            <w:tcW w:w="1276" w:type="dxa"/>
            <w:shd w:val="clear" w:color="auto" w:fill="auto"/>
          </w:tcPr>
          <w:p w14:paraId="127C26DA" w14:textId="77777777" w:rsidR="00B56648" w:rsidRDefault="00B56648" w:rsidP="00CA6D4F">
            <w:pPr>
              <w:overflowPunct w:val="0"/>
              <w:autoSpaceDE w:val="0"/>
              <w:autoSpaceDN w:val="0"/>
              <w:adjustRightInd w:val="0"/>
              <w:ind w:right="-612"/>
              <w:rPr>
                <w:sz w:val="20"/>
              </w:rPr>
            </w:pPr>
          </w:p>
        </w:tc>
        <w:tc>
          <w:tcPr>
            <w:tcW w:w="2268" w:type="dxa"/>
            <w:gridSpan w:val="2"/>
            <w:shd w:val="clear" w:color="auto" w:fill="auto"/>
          </w:tcPr>
          <w:p w14:paraId="3FEB3D9B" w14:textId="77777777" w:rsidR="00B56648" w:rsidRDefault="00B56648" w:rsidP="00CA6D4F">
            <w:pPr>
              <w:overflowPunct w:val="0"/>
              <w:autoSpaceDE w:val="0"/>
              <w:autoSpaceDN w:val="0"/>
              <w:adjustRightInd w:val="0"/>
              <w:ind w:right="-612"/>
              <w:rPr>
                <w:sz w:val="20"/>
              </w:rPr>
            </w:pPr>
          </w:p>
        </w:tc>
        <w:tc>
          <w:tcPr>
            <w:tcW w:w="2247" w:type="dxa"/>
            <w:gridSpan w:val="3"/>
            <w:shd w:val="clear" w:color="auto" w:fill="auto"/>
          </w:tcPr>
          <w:p w14:paraId="3EA736EE" w14:textId="77777777" w:rsidR="00B56648" w:rsidRDefault="00B56648" w:rsidP="00CA6D4F">
            <w:pPr>
              <w:overflowPunct w:val="0"/>
              <w:autoSpaceDE w:val="0"/>
              <w:autoSpaceDN w:val="0"/>
              <w:adjustRightInd w:val="0"/>
              <w:ind w:right="-612"/>
              <w:jc w:val="both"/>
              <w:rPr>
                <w:sz w:val="20"/>
              </w:rPr>
            </w:pPr>
          </w:p>
        </w:tc>
      </w:tr>
      <w:tr w:rsidR="00B56648" w:rsidRPr="001D3940" w14:paraId="50DA9423" w14:textId="77777777" w:rsidTr="00593DC5">
        <w:tc>
          <w:tcPr>
            <w:tcW w:w="3358" w:type="dxa"/>
            <w:shd w:val="clear" w:color="auto" w:fill="auto"/>
          </w:tcPr>
          <w:p w14:paraId="1BCE48CA" w14:textId="77777777" w:rsidR="00B56648" w:rsidRPr="009B0CFC" w:rsidRDefault="00B56648" w:rsidP="007443B7">
            <w:pPr>
              <w:rPr>
                <w:sz w:val="20"/>
              </w:rPr>
            </w:pPr>
            <w:r>
              <w:rPr>
                <w:i/>
                <w:sz w:val="20"/>
              </w:rPr>
              <w:t>Relative</w:t>
            </w:r>
            <w:r w:rsidRPr="00713905">
              <w:rPr>
                <w:i/>
                <w:sz w:val="20"/>
              </w:rPr>
              <w:t xml:space="preserve"> Rate Coefficients</w:t>
            </w:r>
          </w:p>
        </w:tc>
        <w:tc>
          <w:tcPr>
            <w:tcW w:w="1276" w:type="dxa"/>
            <w:shd w:val="clear" w:color="auto" w:fill="auto"/>
          </w:tcPr>
          <w:p w14:paraId="53CB1C83" w14:textId="77777777" w:rsidR="00B56648" w:rsidRPr="009B0CFC" w:rsidRDefault="00B56648" w:rsidP="003F4605">
            <w:pPr>
              <w:rPr>
                <w:sz w:val="20"/>
              </w:rPr>
            </w:pPr>
          </w:p>
        </w:tc>
        <w:tc>
          <w:tcPr>
            <w:tcW w:w="2268" w:type="dxa"/>
            <w:gridSpan w:val="2"/>
            <w:shd w:val="clear" w:color="auto" w:fill="auto"/>
          </w:tcPr>
          <w:p w14:paraId="3211B119" w14:textId="77777777" w:rsidR="00B56648" w:rsidRPr="009B0CFC" w:rsidRDefault="00B56648" w:rsidP="003F4605">
            <w:pPr>
              <w:rPr>
                <w:sz w:val="20"/>
              </w:rPr>
            </w:pPr>
          </w:p>
        </w:tc>
        <w:tc>
          <w:tcPr>
            <w:tcW w:w="2247" w:type="dxa"/>
            <w:gridSpan w:val="3"/>
            <w:shd w:val="clear" w:color="auto" w:fill="auto"/>
          </w:tcPr>
          <w:p w14:paraId="6BC3C7F3" w14:textId="77777777" w:rsidR="00B56648" w:rsidRPr="009B0CFC" w:rsidRDefault="00B56648" w:rsidP="00FE35EF">
            <w:pPr>
              <w:rPr>
                <w:sz w:val="20"/>
              </w:rPr>
            </w:pPr>
          </w:p>
        </w:tc>
      </w:tr>
      <w:tr w:rsidR="00B56648" w:rsidRPr="001D3940" w14:paraId="79C28107" w14:textId="77777777" w:rsidTr="00593DC5">
        <w:tc>
          <w:tcPr>
            <w:tcW w:w="3358" w:type="dxa"/>
            <w:shd w:val="clear" w:color="auto" w:fill="auto"/>
          </w:tcPr>
          <w:p w14:paraId="6C71DB0E" w14:textId="77777777" w:rsidR="00B56648" w:rsidRPr="00AA508A" w:rsidRDefault="00B56648" w:rsidP="0008365F">
            <w:pPr>
              <w:overflowPunct w:val="0"/>
              <w:autoSpaceDE w:val="0"/>
              <w:autoSpaceDN w:val="0"/>
              <w:adjustRightInd w:val="0"/>
              <w:ind w:right="-612"/>
              <w:jc w:val="both"/>
              <w:rPr>
                <w:sz w:val="20"/>
                <w:szCs w:val="24"/>
                <w:lang w:eastAsia="en-US"/>
              </w:rPr>
            </w:pPr>
            <w:r w:rsidRPr="00AA508A">
              <w:rPr>
                <w:i/>
                <w:sz w:val="20"/>
              </w:rPr>
              <w:t>k</w:t>
            </w:r>
            <w:r w:rsidRPr="00AA508A">
              <w:rPr>
                <w:sz w:val="20"/>
                <w:vertAlign w:val="subscript"/>
              </w:rPr>
              <w:t>1(</w:t>
            </w:r>
            <w:r w:rsidRPr="00AA508A">
              <w:rPr>
                <w:i/>
                <w:sz w:val="20"/>
                <w:vertAlign w:val="subscript"/>
              </w:rPr>
              <w:t>E</w:t>
            </w:r>
            <w:r w:rsidRPr="00AA508A">
              <w:rPr>
                <w:sz w:val="20"/>
                <w:vertAlign w:val="subscript"/>
              </w:rPr>
              <w:t>-)</w:t>
            </w:r>
            <w:r w:rsidRPr="00AA508A">
              <w:rPr>
                <w:sz w:val="20"/>
              </w:rPr>
              <w:t xml:space="preserve"> = (2.0 ± 0.6) × 10</w:t>
            </w:r>
            <w:r w:rsidRPr="00AA508A">
              <w:rPr>
                <w:sz w:val="20"/>
                <w:vertAlign w:val="superscript"/>
              </w:rPr>
              <w:t>−14</w:t>
            </w:r>
          </w:p>
        </w:tc>
        <w:tc>
          <w:tcPr>
            <w:tcW w:w="1276" w:type="dxa"/>
            <w:shd w:val="clear" w:color="auto" w:fill="auto"/>
          </w:tcPr>
          <w:p w14:paraId="66ED87D8" w14:textId="77777777" w:rsidR="00B56648" w:rsidRDefault="00B56648" w:rsidP="0008365F">
            <w:pPr>
              <w:overflowPunct w:val="0"/>
              <w:autoSpaceDE w:val="0"/>
              <w:autoSpaceDN w:val="0"/>
              <w:adjustRightInd w:val="0"/>
              <w:ind w:right="-612"/>
              <w:rPr>
                <w:sz w:val="20"/>
                <w:szCs w:val="24"/>
                <w:lang w:eastAsia="en-US"/>
              </w:rPr>
            </w:pPr>
            <w:r>
              <w:rPr>
                <w:sz w:val="20"/>
                <w:szCs w:val="24"/>
                <w:lang w:eastAsia="en-US"/>
              </w:rPr>
              <w:t>293</w:t>
            </w:r>
          </w:p>
        </w:tc>
        <w:tc>
          <w:tcPr>
            <w:tcW w:w="2268" w:type="dxa"/>
            <w:gridSpan w:val="2"/>
            <w:shd w:val="clear" w:color="auto" w:fill="auto"/>
          </w:tcPr>
          <w:p w14:paraId="418148B4" w14:textId="77777777" w:rsidR="00B56648" w:rsidRDefault="00B56648" w:rsidP="00CA6D4F">
            <w:pPr>
              <w:overflowPunct w:val="0"/>
              <w:autoSpaceDE w:val="0"/>
              <w:autoSpaceDN w:val="0"/>
              <w:adjustRightInd w:val="0"/>
              <w:ind w:right="-612"/>
              <w:rPr>
                <w:sz w:val="20"/>
                <w:szCs w:val="24"/>
                <w:lang w:eastAsia="en-US"/>
              </w:rPr>
            </w:pPr>
            <w:r>
              <w:rPr>
                <w:sz w:val="20"/>
              </w:rPr>
              <w:t>Berndt et al., 2014</w:t>
            </w:r>
          </w:p>
        </w:tc>
        <w:tc>
          <w:tcPr>
            <w:tcW w:w="2247" w:type="dxa"/>
            <w:gridSpan w:val="3"/>
            <w:shd w:val="clear" w:color="auto" w:fill="auto"/>
          </w:tcPr>
          <w:p w14:paraId="17CEF610" w14:textId="77777777" w:rsidR="00B56648" w:rsidRDefault="00B56648" w:rsidP="00473CAC">
            <w:pPr>
              <w:overflowPunct w:val="0"/>
              <w:autoSpaceDE w:val="0"/>
              <w:autoSpaceDN w:val="0"/>
              <w:adjustRightInd w:val="0"/>
              <w:ind w:right="-612"/>
              <w:jc w:val="both"/>
              <w:rPr>
                <w:sz w:val="20"/>
                <w:szCs w:val="24"/>
                <w:lang w:eastAsia="en-US"/>
              </w:rPr>
            </w:pPr>
            <w:r>
              <w:rPr>
                <w:sz w:val="20"/>
              </w:rPr>
              <w:t>FT/CI-</w:t>
            </w:r>
            <w:proofErr w:type="spellStart"/>
            <w:r>
              <w:rPr>
                <w:sz w:val="20"/>
              </w:rPr>
              <w:t>APi</w:t>
            </w:r>
            <w:proofErr w:type="spellEnd"/>
            <w:r>
              <w:rPr>
                <w:sz w:val="20"/>
              </w:rPr>
              <w:t>-TOF MS (</w:t>
            </w:r>
            <w:r w:rsidR="00473CAC">
              <w:rPr>
                <w:sz w:val="20"/>
              </w:rPr>
              <w:t>d</w:t>
            </w:r>
            <w:r>
              <w:rPr>
                <w:sz w:val="20"/>
              </w:rPr>
              <w:t>)</w:t>
            </w:r>
          </w:p>
        </w:tc>
      </w:tr>
      <w:tr w:rsidR="00B56648" w:rsidRPr="001D3940" w14:paraId="083E7618" w14:textId="77777777" w:rsidTr="00593DC5">
        <w:tc>
          <w:tcPr>
            <w:tcW w:w="3358" w:type="dxa"/>
            <w:tcBorders>
              <w:bottom w:val="single" w:sz="4" w:space="0" w:color="auto"/>
            </w:tcBorders>
            <w:shd w:val="clear" w:color="auto" w:fill="auto"/>
          </w:tcPr>
          <w:p w14:paraId="35DCD2BE" w14:textId="77777777" w:rsidR="00B56648" w:rsidRPr="00AA508A" w:rsidRDefault="00B56648" w:rsidP="003E2B74">
            <w:pPr>
              <w:overflowPunct w:val="0"/>
              <w:autoSpaceDE w:val="0"/>
              <w:autoSpaceDN w:val="0"/>
              <w:adjustRightInd w:val="0"/>
              <w:spacing w:after="120"/>
              <w:ind w:right="-612"/>
              <w:jc w:val="both"/>
              <w:rPr>
                <w:i/>
                <w:sz w:val="20"/>
                <w:szCs w:val="24"/>
                <w:lang w:eastAsia="en-US"/>
              </w:rPr>
            </w:pPr>
            <w:r w:rsidRPr="00AA508A">
              <w:rPr>
                <w:i/>
                <w:sz w:val="20"/>
              </w:rPr>
              <w:t>k</w:t>
            </w:r>
            <w:r w:rsidRPr="00AA508A">
              <w:rPr>
                <w:sz w:val="20"/>
                <w:vertAlign w:val="subscript"/>
              </w:rPr>
              <w:t>1(</w:t>
            </w:r>
            <w:r w:rsidRPr="00AA508A">
              <w:rPr>
                <w:i/>
                <w:sz w:val="20"/>
                <w:vertAlign w:val="subscript"/>
              </w:rPr>
              <w:t>E</w:t>
            </w:r>
            <w:r w:rsidRPr="00AA508A">
              <w:rPr>
                <w:sz w:val="20"/>
                <w:vertAlign w:val="subscript"/>
              </w:rPr>
              <w:t>-)</w:t>
            </w:r>
            <w:r w:rsidRPr="00AA508A">
              <w:rPr>
                <w:sz w:val="20"/>
              </w:rPr>
              <w:t xml:space="preserve"> = (4.9 ± 4.3) × 10</w:t>
            </w:r>
            <w:r w:rsidRPr="00AA508A">
              <w:rPr>
                <w:sz w:val="20"/>
                <w:vertAlign w:val="superscript"/>
              </w:rPr>
              <w:t>−14</w:t>
            </w:r>
          </w:p>
        </w:tc>
        <w:tc>
          <w:tcPr>
            <w:tcW w:w="1276" w:type="dxa"/>
            <w:tcBorders>
              <w:bottom w:val="single" w:sz="4" w:space="0" w:color="auto"/>
            </w:tcBorders>
            <w:shd w:val="clear" w:color="auto" w:fill="auto"/>
          </w:tcPr>
          <w:p w14:paraId="738D9DC2" w14:textId="77777777" w:rsidR="00B56648" w:rsidRDefault="00B56648" w:rsidP="003E2B74">
            <w:pPr>
              <w:overflowPunct w:val="0"/>
              <w:autoSpaceDE w:val="0"/>
              <w:autoSpaceDN w:val="0"/>
              <w:adjustRightInd w:val="0"/>
              <w:spacing w:after="120" w:line="264" w:lineRule="auto"/>
              <w:ind w:right="-610"/>
              <w:rPr>
                <w:sz w:val="20"/>
                <w:szCs w:val="24"/>
                <w:lang w:eastAsia="en-US"/>
              </w:rPr>
            </w:pPr>
            <w:r>
              <w:rPr>
                <w:sz w:val="20"/>
                <w:szCs w:val="24"/>
                <w:lang w:eastAsia="en-US"/>
              </w:rPr>
              <w:t>296-302</w:t>
            </w:r>
          </w:p>
        </w:tc>
        <w:tc>
          <w:tcPr>
            <w:tcW w:w="2268" w:type="dxa"/>
            <w:gridSpan w:val="2"/>
            <w:tcBorders>
              <w:bottom w:val="single" w:sz="4" w:space="0" w:color="auto"/>
            </w:tcBorders>
            <w:shd w:val="clear" w:color="auto" w:fill="auto"/>
          </w:tcPr>
          <w:p w14:paraId="1AEA1A68" w14:textId="77777777" w:rsidR="00B56648" w:rsidRDefault="00B56648" w:rsidP="003E2B74">
            <w:pPr>
              <w:overflowPunct w:val="0"/>
              <w:autoSpaceDE w:val="0"/>
              <w:autoSpaceDN w:val="0"/>
              <w:adjustRightInd w:val="0"/>
              <w:spacing w:after="120"/>
              <w:ind w:right="-612"/>
              <w:rPr>
                <w:sz w:val="20"/>
                <w:szCs w:val="24"/>
                <w:lang w:eastAsia="en-US"/>
              </w:rPr>
            </w:pPr>
            <w:r>
              <w:rPr>
                <w:sz w:val="20"/>
              </w:rPr>
              <w:t>Newland et al., 2015</w:t>
            </w:r>
          </w:p>
        </w:tc>
        <w:tc>
          <w:tcPr>
            <w:tcW w:w="2247" w:type="dxa"/>
            <w:gridSpan w:val="3"/>
            <w:tcBorders>
              <w:bottom w:val="single" w:sz="4" w:space="0" w:color="auto"/>
            </w:tcBorders>
            <w:shd w:val="clear" w:color="auto" w:fill="auto"/>
          </w:tcPr>
          <w:p w14:paraId="2203D63C" w14:textId="77777777" w:rsidR="00B56648" w:rsidRDefault="00B56648" w:rsidP="003E2B74">
            <w:pPr>
              <w:spacing w:after="120"/>
              <w:ind w:right="-612"/>
              <w:jc w:val="both"/>
              <w:rPr>
                <w:sz w:val="20"/>
                <w:szCs w:val="24"/>
                <w:lang w:eastAsia="en-US"/>
              </w:rPr>
            </w:pPr>
            <w:r>
              <w:rPr>
                <w:sz w:val="20"/>
              </w:rPr>
              <w:t>RR-FTIR/UVA/UV-F (</w:t>
            </w:r>
            <w:r w:rsidR="00473CAC">
              <w:rPr>
                <w:sz w:val="20"/>
              </w:rPr>
              <w:t>e</w:t>
            </w:r>
            <w:r>
              <w:rPr>
                <w:sz w:val="20"/>
              </w:rPr>
              <w:t>)</w:t>
            </w:r>
          </w:p>
        </w:tc>
      </w:tr>
    </w:tbl>
    <w:p w14:paraId="5F453655" w14:textId="77777777" w:rsidR="00F340B1" w:rsidRPr="001D3940" w:rsidRDefault="00F340B1" w:rsidP="00F340B1">
      <w:pPr>
        <w:tabs>
          <w:tab w:val="center" w:pos="4680"/>
        </w:tabs>
        <w:jc w:val="both"/>
        <w:rPr>
          <w:color w:val="auto"/>
        </w:rPr>
      </w:pPr>
    </w:p>
    <w:p w14:paraId="7D423CE2" w14:textId="77777777" w:rsidR="00F340B1" w:rsidRPr="001D3940" w:rsidRDefault="00F340B1" w:rsidP="00F340B1">
      <w:pPr>
        <w:pStyle w:val="Heading5"/>
        <w:rPr>
          <w:color w:val="auto"/>
        </w:rPr>
      </w:pPr>
      <w:r w:rsidRPr="001D3940">
        <w:rPr>
          <w:color w:val="auto"/>
        </w:rPr>
        <w:t>Comments</w:t>
      </w:r>
    </w:p>
    <w:p w14:paraId="71269A6B" w14:textId="77777777" w:rsidR="00F340B1" w:rsidRPr="001D3940" w:rsidRDefault="00F340B1" w:rsidP="00F340B1">
      <w:pPr>
        <w:tabs>
          <w:tab w:val="left" w:pos="-1440"/>
          <w:tab w:val="left" w:pos="-720"/>
          <w:tab w:val="left" w:pos="444"/>
        </w:tabs>
        <w:jc w:val="both"/>
        <w:rPr>
          <w:color w:val="auto"/>
        </w:rPr>
      </w:pPr>
    </w:p>
    <w:p w14:paraId="70FEDF7F" w14:textId="4081B200" w:rsidR="00ED24D0" w:rsidRPr="001D3940" w:rsidRDefault="00851C50" w:rsidP="00ED24D0">
      <w:pPr>
        <w:numPr>
          <w:ilvl w:val="0"/>
          <w:numId w:val="3"/>
        </w:numPr>
        <w:tabs>
          <w:tab w:val="left" w:pos="-1440"/>
          <w:tab w:val="left" w:pos="-720"/>
          <w:tab w:val="left" w:pos="426"/>
        </w:tabs>
        <w:jc w:val="both"/>
        <w:rPr>
          <w:color w:val="auto"/>
          <w:spacing w:val="-3"/>
        </w:rPr>
      </w:pPr>
      <w:r>
        <w:t>CH</w:t>
      </w:r>
      <w:r>
        <w:rPr>
          <w:vertAlign w:val="subscript"/>
        </w:rPr>
        <w:t>3</w:t>
      </w:r>
      <w:r>
        <w:t>CHOO was produced by the reaction of CH</w:t>
      </w:r>
      <w:r>
        <w:rPr>
          <w:vertAlign w:val="subscript"/>
        </w:rPr>
        <w:t>3</w:t>
      </w:r>
      <w:r>
        <w:t>CHI + O</w:t>
      </w:r>
      <w:r>
        <w:rPr>
          <w:vertAlign w:val="subscript"/>
        </w:rPr>
        <w:t>2</w:t>
      </w:r>
      <w:r>
        <w:t>. CH</w:t>
      </w:r>
      <w:r>
        <w:rPr>
          <w:vertAlign w:val="subscript"/>
        </w:rPr>
        <w:t>3</w:t>
      </w:r>
      <w:r>
        <w:t>CHI was generated by 248-nm laser photolysis of 1,1-diiodoethane, CH</w:t>
      </w:r>
      <w:r>
        <w:rPr>
          <w:vertAlign w:val="subscript"/>
        </w:rPr>
        <w:t>3</w:t>
      </w:r>
      <w:r>
        <w:t>CH</w:t>
      </w:r>
      <w:r>
        <w:rPr>
          <w:vertAlign w:val="subscript"/>
        </w:rPr>
        <w:t>2</w:t>
      </w:r>
      <w:r>
        <w:t>I</w:t>
      </w:r>
      <w:r>
        <w:rPr>
          <w:vertAlign w:val="subscript"/>
        </w:rPr>
        <w:t>2</w:t>
      </w:r>
      <w:r>
        <w:t>, at 29</w:t>
      </w:r>
      <w:r w:rsidR="00C64475">
        <w:t>8</w:t>
      </w:r>
      <w:r>
        <w:t xml:space="preserve"> K and 4 torr, in a large excess of O</w:t>
      </w:r>
      <w:r>
        <w:rPr>
          <w:vertAlign w:val="subscript"/>
        </w:rPr>
        <w:t>2</w:t>
      </w:r>
      <w:r>
        <w:t xml:space="preserve">. The reacting mixture was monitored by tunable synchrotron photoionization mass spectrometry, which allowed </w:t>
      </w:r>
      <w:proofErr w:type="spellStart"/>
      <w:r>
        <w:t>characterisation</w:t>
      </w:r>
      <w:proofErr w:type="spellEnd"/>
      <w:r>
        <w:t xml:space="preserve"> of the PIMS. Both conformers of CH</w:t>
      </w:r>
      <w:r>
        <w:rPr>
          <w:vertAlign w:val="subscript"/>
        </w:rPr>
        <w:t>3</w:t>
      </w:r>
      <w:r>
        <w:t>CHOO (</w:t>
      </w:r>
      <w:r>
        <w:rPr>
          <w:i/>
        </w:rPr>
        <w:t>Z-</w:t>
      </w:r>
      <w:r>
        <w:t xml:space="preserve"> and </w:t>
      </w:r>
      <w:r>
        <w:rPr>
          <w:i/>
        </w:rPr>
        <w:t>E-</w:t>
      </w:r>
      <w:r>
        <w:t xml:space="preserve">) are produced in this process, and they could be distinguished by the difference in their </w:t>
      </w:r>
      <w:proofErr w:type="spellStart"/>
      <w:r>
        <w:t>ionisation</w:t>
      </w:r>
      <w:proofErr w:type="spellEnd"/>
      <w:r>
        <w:t xml:space="preserve"> energies. The first order decay of CH</w:t>
      </w:r>
      <w:r>
        <w:rPr>
          <w:vertAlign w:val="subscript"/>
        </w:rPr>
        <w:t>3</w:t>
      </w:r>
      <w:r>
        <w:t>CHOO in the presence of excess known concentrations of H</w:t>
      </w:r>
      <w:r>
        <w:rPr>
          <w:vertAlign w:val="subscript"/>
        </w:rPr>
        <w:t>2</w:t>
      </w:r>
      <w:r>
        <w:t xml:space="preserve">O up to 2.4 </w:t>
      </w:r>
      <w:r w:rsidR="005F2981">
        <w:t>×</w:t>
      </w:r>
      <w:r>
        <w:t xml:space="preserve"> 10</w:t>
      </w:r>
      <w:r>
        <w:rPr>
          <w:vertAlign w:val="superscript"/>
        </w:rPr>
        <w:t>16</w:t>
      </w:r>
      <w:r>
        <w:t xml:space="preserve"> molecule cm</w:t>
      </w:r>
      <w:r>
        <w:rPr>
          <w:vertAlign w:val="superscript"/>
        </w:rPr>
        <w:t>-3</w:t>
      </w:r>
      <w:r>
        <w:t xml:space="preserve">, was used to determine the rate constants. It was demonstrated that decay of </w:t>
      </w:r>
      <w:r>
        <w:rPr>
          <w:i/>
        </w:rPr>
        <w:t>Z</w:t>
      </w:r>
      <w:r>
        <w:t>-CH</w:t>
      </w:r>
      <w:r>
        <w:rPr>
          <w:vertAlign w:val="subscript"/>
        </w:rPr>
        <w:t>3</w:t>
      </w:r>
      <w:r>
        <w:t>CHOO was independent of the presence of H</w:t>
      </w:r>
      <w:r>
        <w:rPr>
          <w:vertAlign w:val="subscript"/>
        </w:rPr>
        <w:t>2</w:t>
      </w:r>
      <w:r>
        <w:t xml:space="preserve">O at this concentration, allowing only the upper limit of </w:t>
      </w:r>
      <w:r>
        <w:rPr>
          <w:i/>
        </w:rPr>
        <w:t>k</w:t>
      </w:r>
      <w:r w:rsidR="007830A8" w:rsidRPr="007830A8">
        <w:rPr>
          <w:vertAlign w:val="subscript"/>
        </w:rPr>
        <w:t>1</w:t>
      </w:r>
      <w:r w:rsidR="007830A8" w:rsidRPr="00556373">
        <w:rPr>
          <w:i/>
          <w:vertAlign w:val="subscript"/>
        </w:rPr>
        <w:t>(</w:t>
      </w:r>
      <w:r>
        <w:rPr>
          <w:i/>
          <w:vertAlign w:val="subscript"/>
        </w:rPr>
        <w:t>Z-</w:t>
      </w:r>
      <w:r w:rsidR="007830A8" w:rsidRPr="007830A8">
        <w:rPr>
          <w:vertAlign w:val="subscript"/>
        </w:rPr>
        <w:t>)</w:t>
      </w:r>
      <w:r>
        <w:t xml:space="preserve"> to be determined. On the other </w:t>
      </w:r>
      <w:proofErr w:type="gramStart"/>
      <w:r>
        <w:t>hand</w:t>
      </w:r>
      <w:proofErr w:type="gramEnd"/>
      <w:r>
        <w:t xml:space="preserve"> decay of </w:t>
      </w:r>
      <w:r>
        <w:rPr>
          <w:i/>
        </w:rPr>
        <w:t>E</w:t>
      </w:r>
      <w:r>
        <w:t>-CH</w:t>
      </w:r>
      <w:r>
        <w:rPr>
          <w:vertAlign w:val="subscript"/>
        </w:rPr>
        <w:t>3</w:t>
      </w:r>
      <w:r>
        <w:t>CHOO increased monotonically with [H</w:t>
      </w:r>
      <w:r>
        <w:rPr>
          <w:vertAlign w:val="subscript"/>
        </w:rPr>
        <w:t>2</w:t>
      </w:r>
      <w:r>
        <w:t xml:space="preserve">O], allowing </w:t>
      </w:r>
      <w:r w:rsidR="007830A8">
        <w:rPr>
          <w:i/>
        </w:rPr>
        <w:t>k</w:t>
      </w:r>
      <w:r w:rsidR="007830A8" w:rsidRPr="007830A8">
        <w:rPr>
          <w:vertAlign w:val="subscript"/>
        </w:rPr>
        <w:t>1</w:t>
      </w:r>
      <w:r w:rsidR="007830A8" w:rsidRPr="00556373">
        <w:rPr>
          <w:i/>
          <w:vertAlign w:val="subscript"/>
        </w:rPr>
        <w:t>(</w:t>
      </w:r>
      <w:r w:rsidR="007830A8">
        <w:rPr>
          <w:i/>
          <w:vertAlign w:val="subscript"/>
        </w:rPr>
        <w:t>E-</w:t>
      </w:r>
      <w:r w:rsidR="007830A8" w:rsidRPr="007830A8">
        <w:rPr>
          <w:vertAlign w:val="subscript"/>
        </w:rPr>
        <w:t>)</w:t>
      </w:r>
      <w:r>
        <w:t xml:space="preserve"> to be determined with some confidence.</w:t>
      </w:r>
    </w:p>
    <w:p w14:paraId="7CD1093D" w14:textId="77777777" w:rsidR="00ED24D0" w:rsidRPr="00473CAC" w:rsidRDefault="00851C50" w:rsidP="00ED24D0">
      <w:pPr>
        <w:numPr>
          <w:ilvl w:val="0"/>
          <w:numId w:val="3"/>
        </w:numPr>
        <w:tabs>
          <w:tab w:val="left" w:pos="-1440"/>
          <w:tab w:val="left" w:pos="-720"/>
        </w:tabs>
        <w:jc w:val="both"/>
        <w:rPr>
          <w:color w:val="auto"/>
        </w:rPr>
      </w:pPr>
      <w:r>
        <w:t>CH</w:t>
      </w:r>
      <w:r>
        <w:rPr>
          <w:vertAlign w:val="subscript"/>
        </w:rPr>
        <w:t>3</w:t>
      </w:r>
      <w:r>
        <w:t>CHOO prepared by PLP (266 nm) of CH</w:t>
      </w:r>
      <w:r>
        <w:rPr>
          <w:vertAlign w:val="subscript"/>
        </w:rPr>
        <w:t>3</w:t>
      </w:r>
      <w:r>
        <w:t>CHI</w:t>
      </w:r>
      <w:r>
        <w:rPr>
          <w:vertAlign w:val="subscript"/>
        </w:rPr>
        <w:t>2</w:t>
      </w:r>
      <w:r>
        <w:t xml:space="preserve"> in O</w:t>
      </w:r>
      <w:r>
        <w:rPr>
          <w:vertAlign w:val="subscript"/>
        </w:rPr>
        <w:t>2</w:t>
      </w:r>
      <w:r>
        <w:t>/</w:t>
      </w:r>
      <w:proofErr w:type="spellStart"/>
      <w:r>
        <w:t>Ar</w:t>
      </w:r>
      <w:proofErr w:type="spellEnd"/>
      <w:r>
        <w:t xml:space="preserve"> mixtures at 5 - 20 Torr pressure. The UV absorption spectrum of CH</w:t>
      </w:r>
      <w:r>
        <w:rPr>
          <w:vertAlign w:val="subscript"/>
        </w:rPr>
        <w:t>3</w:t>
      </w:r>
      <w:r>
        <w:t xml:space="preserve">CHOO in the region 300 – 450 nm, corresponding to the B̃ (1A′) ← X̃(1A′) electronic transition was determined in this work, using time-resolved cavity enhanced absorption spectroscopy. Absorption features due to </w:t>
      </w:r>
      <w:r>
        <w:rPr>
          <w:i/>
        </w:rPr>
        <w:t>Z-</w:t>
      </w:r>
      <w:r>
        <w:t xml:space="preserve"> and </w:t>
      </w:r>
      <w:r>
        <w:rPr>
          <w:i/>
        </w:rPr>
        <w:t>E-</w:t>
      </w:r>
      <w:r>
        <w:t xml:space="preserve"> conformers of CH</w:t>
      </w:r>
      <w:r>
        <w:rPr>
          <w:vertAlign w:val="subscript"/>
        </w:rPr>
        <w:t>3</w:t>
      </w:r>
      <w:r>
        <w:t>CHOO could be distinguished by their differing reactivities - reflected in characteristic time</w:t>
      </w:r>
      <w:r w:rsidR="002B035E">
        <w:t>-</w:t>
      </w:r>
      <w:r>
        <w:t>dependences.  IO (formed from secondary chemistry) was also detected. CH</w:t>
      </w:r>
      <w:r>
        <w:rPr>
          <w:vertAlign w:val="subscript"/>
        </w:rPr>
        <w:t>3</w:t>
      </w:r>
      <w:r>
        <w:t xml:space="preserve">CHOO kinetics were investigated by recording the time-dependence of components due to </w:t>
      </w:r>
      <w:r w:rsidR="002B035E">
        <w:rPr>
          <w:i/>
        </w:rPr>
        <w:t>Z-</w:t>
      </w:r>
      <w:r>
        <w:t xml:space="preserve"> and </w:t>
      </w:r>
      <w:r w:rsidR="002B035E">
        <w:rPr>
          <w:i/>
        </w:rPr>
        <w:t>E-</w:t>
      </w:r>
      <w:r>
        <w:t xml:space="preserve"> conformers, and fitting the observed growth and decay curves. This allowed conformer-specific rate coefficients to be determined. The </w:t>
      </w:r>
      <w:r w:rsidR="002B035E">
        <w:t xml:space="preserve">first-order </w:t>
      </w:r>
      <w:r>
        <w:t xml:space="preserve">decay rate of </w:t>
      </w:r>
      <w:r w:rsidR="002B035E" w:rsidRPr="002B035E">
        <w:rPr>
          <w:i/>
        </w:rPr>
        <w:t>Z</w:t>
      </w:r>
      <w:r>
        <w:t>-CH</w:t>
      </w:r>
      <w:r>
        <w:rPr>
          <w:vertAlign w:val="subscript"/>
        </w:rPr>
        <w:t>3</w:t>
      </w:r>
      <w:r>
        <w:t>CHOO</w:t>
      </w:r>
      <w:r w:rsidR="002B035E">
        <w:t xml:space="preserve">, </w:t>
      </w:r>
      <w:r>
        <w:t>160 ± 25 s</w:t>
      </w:r>
      <w:r>
        <w:rPr>
          <w:vertAlign w:val="superscript"/>
        </w:rPr>
        <w:t>-1</w:t>
      </w:r>
      <w:r w:rsidR="002B035E">
        <w:t xml:space="preserve">, </w:t>
      </w:r>
      <w:r>
        <w:t>did not change as a function of [H</w:t>
      </w:r>
      <w:r>
        <w:rPr>
          <w:vertAlign w:val="subscript"/>
        </w:rPr>
        <w:t>2</w:t>
      </w:r>
      <w:r>
        <w:t xml:space="preserve">O], giving </w:t>
      </w:r>
      <w:r>
        <w:lastRenderedPageBreak/>
        <w:t xml:space="preserve">the cited upper limit of </w:t>
      </w:r>
      <w:r w:rsidR="007830A8">
        <w:rPr>
          <w:i/>
        </w:rPr>
        <w:t>k</w:t>
      </w:r>
      <w:r w:rsidR="007830A8" w:rsidRPr="007830A8">
        <w:rPr>
          <w:vertAlign w:val="subscript"/>
        </w:rPr>
        <w:t>1</w:t>
      </w:r>
      <w:r w:rsidR="007830A8" w:rsidRPr="000B1EDF">
        <w:rPr>
          <w:i/>
          <w:vertAlign w:val="subscript"/>
        </w:rPr>
        <w:t>(</w:t>
      </w:r>
      <w:r w:rsidR="007830A8">
        <w:rPr>
          <w:i/>
          <w:vertAlign w:val="subscript"/>
        </w:rPr>
        <w:t>Z-</w:t>
      </w:r>
      <w:r w:rsidR="007830A8" w:rsidRPr="007830A8">
        <w:rPr>
          <w:vertAlign w:val="subscript"/>
        </w:rPr>
        <w:t>)</w:t>
      </w:r>
      <w:r w:rsidR="00B9772E">
        <w:t xml:space="preserve">. </w:t>
      </w:r>
      <w:r>
        <w:t xml:space="preserve">For </w:t>
      </w:r>
      <w:r w:rsidR="002B035E" w:rsidRPr="002B035E">
        <w:rPr>
          <w:i/>
        </w:rPr>
        <w:t>E</w:t>
      </w:r>
      <w:r>
        <w:t>-CH</w:t>
      </w:r>
      <w:r>
        <w:rPr>
          <w:vertAlign w:val="subscript"/>
        </w:rPr>
        <w:t>3</w:t>
      </w:r>
      <w:r>
        <w:t>CHOO,</w:t>
      </w:r>
      <w:r w:rsidR="002B035E">
        <w:t xml:space="preserve"> the first-order decay rate</w:t>
      </w:r>
      <w:r>
        <w:rPr>
          <w:vertAlign w:val="superscript"/>
        </w:rPr>
        <w:t xml:space="preserve"> </w:t>
      </w:r>
      <w:r>
        <w:t>increased linearly with [H</w:t>
      </w:r>
      <w:r>
        <w:rPr>
          <w:vertAlign w:val="subscript"/>
        </w:rPr>
        <w:t>2</w:t>
      </w:r>
      <w:r>
        <w:t xml:space="preserve">O], and the cited value for </w:t>
      </w:r>
      <w:r w:rsidR="007830A8">
        <w:rPr>
          <w:i/>
        </w:rPr>
        <w:t>k</w:t>
      </w:r>
      <w:r w:rsidR="007830A8" w:rsidRPr="007830A8">
        <w:rPr>
          <w:vertAlign w:val="subscript"/>
        </w:rPr>
        <w:t>1</w:t>
      </w:r>
      <w:r w:rsidR="007830A8" w:rsidRPr="000B1EDF">
        <w:rPr>
          <w:i/>
          <w:vertAlign w:val="subscript"/>
        </w:rPr>
        <w:t>(</w:t>
      </w:r>
      <w:r w:rsidR="007830A8">
        <w:rPr>
          <w:i/>
          <w:vertAlign w:val="subscript"/>
        </w:rPr>
        <w:t>E-</w:t>
      </w:r>
      <w:r w:rsidR="007830A8" w:rsidRPr="007830A8">
        <w:rPr>
          <w:vertAlign w:val="subscript"/>
        </w:rPr>
        <w:t>)</w:t>
      </w:r>
      <w:r>
        <w:t xml:space="preserve"> was obtained by fitting to linear plots.</w:t>
      </w:r>
    </w:p>
    <w:p w14:paraId="7A5C5DF8" w14:textId="77777777" w:rsidR="00473CAC" w:rsidRPr="00DA2F01" w:rsidRDefault="00967809" w:rsidP="00ED24D0">
      <w:pPr>
        <w:numPr>
          <w:ilvl w:val="0"/>
          <w:numId w:val="3"/>
        </w:numPr>
        <w:tabs>
          <w:tab w:val="left" w:pos="-1440"/>
          <w:tab w:val="left" w:pos="-720"/>
        </w:tabs>
        <w:jc w:val="both"/>
        <w:rPr>
          <w:color w:val="auto"/>
        </w:rPr>
      </w:pPr>
      <w:r>
        <w:t>CH</w:t>
      </w:r>
      <w:r w:rsidRPr="00DA2F01">
        <w:rPr>
          <w:vertAlign w:val="subscript"/>
        </w:rPr>
        <w:t>3</w:t>
      </w:r>
      <w:r>
        <w:t>CHOO prepared by PLP (266 nm) of CH</w:t>
      </w:r>
      <w:r w:rsidRPr="00DA2F01">
        <w:rPr>
          <w:vertAlign w:val="subscript"/>
        </w:rPr>
        <w:t>3</w:t>
      </w:r>
      <w:r>
        <w:t>CHI</w:t>
      </w:r>
      <w:r w:rsidRPr="00DA2F01">
        <w:rPr>
          <w:vertAlign w:val="subscript"/>
        </w:rPr>
        <w:t>2</w:t>
      </w:r>
      <w:r>
        <w:t xml:space="preserve"> in O</w:t>
      </w:r>
      <w:r w:rsidRPr="00DA2F01">
        <w:rPr>
          <w:vertAlign w:val="subscript"/>
        </w:rPr>
        <w:t>2</w:t>
      </w:r>
      <w:r>
        <w:t>/N</w:t>
      </w:r>
      <w:r w:rsidRPr="00DA2F01">
        <w:rPr>
          <w:vertAlign w:val="subscript"/>
        </w:rPr>
        <w:t>2</w:t>
      </w:r>
      <w:r>
        <w:t xml:space="preserve"> mixtures, mainly at 500 Torr pressure. The kinetics of CH</w:t>
      </w:r>
      <w:r w:rsidRPr="00DA2F01">
        <w:rPr>
          <w:vertAlign w:val="subscript"/>
        </w:rPr>
        <w:t>3</w:t>
      </w:r>
      <w:r>
        <w:t>CHOO re</w:t>
      </w:r>
      <w:r w:rsidR="00357B31">
        <w:t>moval</w:t>
      </w:r>
      <w:r>
        <w:t xml:space="preserve"> were monitored by UV absorption at 368 nm</w:t>
      </w:r>
      <w:r w:rsidR="00357B31">
        <w:t xml:space="preserve"> as a function of [H</w:t>
      </w:r>
      <w:r w:rsidR="00357B31" w:rsidRPr="00DA2F01">
        <w:rPr>
          <w:vertAlign w:val="subscript"/>
        </w:rPr>
        <w:t>2</w:t>
      </w:r>
      <w:r w:rsidR="00357B31">
        <w:t>O]. Taking account of the relative cross-sections o</w:t>
      </w:r>
      <w:r w:rsidR="000B1EDF">
        <w:t>f the conformers at this wavelength (</w:t>
      </w:r>
      <w:r w:rsidR="000B1EDF" w:rsidRPr="00DA2F01">
        <w:rPr>
          <w:rFonts w:ascii="Symbol" w:hAnsi="Symbol"/>
        </w:rPr>
        <w:t></w:t>
      </w:r>
      <w:r w:rsidR="000B1EDF" w:rsidRPr="00DA2F01">
        <w:rPr>
          <w:vertAlign w:val="subscript"/>
        </w:rPr>
        <w:t>(</w:t>
      </w:r>
      <w:r w:rsidR="000B1EDF" w:rsidRPr="00DA2F01">
        <w:rPr>
          <w:i/>
          <w:vertAlign w:val="subscript"/>
        </w:rPr>
        <w:t>E</w:t>
      </w:r>
      <w:r w:rsidR="000B1EDF" w:rsidRPr="00DA2F01">
        <w:rPr>
          <w:vertAlign w:val="subscript"/>
        </w:rPr>
        <w:t>-)</w:t>
      </w:r>
      <w:r w:rsidR="000B1EDF">
        <w:t>/</w:t>
      </w:r>
      <w:r w:rsidR="000B1EDF" w:rsidRPr="00DA2F01">
        <w:rPr>
          <w:rFonts w:ascii="Symbol" w:hAnsi="Symbol"/>
        </w:rPr>
        <w:t></w:t>
      </w:r>
      <w:r w:rsidR="000B1EDF" w:rsidRPr="00DA2F01">
        <w:rPr>
          <w:vertAlign w:val="subscript"/>
        </w:rPr>
        <w:t>(Z-)</w:t>
      </w:r>
      <w:r w:rsidR="000B1EDF">
        <w:t xml:space="preserve"> ≈ 3), and their relative formation (</w:t>
      </w:r>
      <w:r w:rsidR="000B1EDF" w:rsidRPr="00DA2F01">
        <w:rPr>
          <w:i/>
        </w:rPr>
        <w:t>Z-</w:t>
      </w:r>
      <w:r w:rsidR="000B1EDF">
        <w:t>/</w:t>
      </w:r>
      <w:r w:rsidR="000B1EDF" w:rsidRPr="00DA2F01">
        <w:rPr>
          <w:i/>
        </w:rPr>
        <w:t>E-</w:t>
      </w:r>
      <w:r w:rsidR="000B1EDF">
        <w:t xml:space="preserve"> ≈ 3), </w:t>
      </w:r>
      <w:r w:rsidR="00357B31" w:rsidRPr="00DA2F01">
        <w:rPr>
          <w:i/>
        </w:rPr>
        <w:t>E</w:t>
      </w:r>
      <w:r w:rsidR="00357B31">
        <w:t xml:space="preserve">- and </w:t>
      </w:r>
      <w:r w:rsidR="00357B31" w:rsidRPr="00DA2F01">
        <w:rPr>
          <w:i/>
        </w:rPr>
        <w:t>Z</w:t>
      </w:r>
      <w:r w:rsidR="00357B31">
        <w:t>-</w:t>
      </w:r>
      <w:r w:rsidR="000B1EDF" w:rsidRPr="000B1EDF">
        <w:t xml:space="preserve"> </w:t>
      </w:r>
      <w:r w:rsidR="000B1EDF">
        <w:t>CH</w:t>
      </w:r>
      <w:r w:rsidR="000B1EDF" w:rsidRPr="00DA2F01">
        <w:rPr>
          <w:vertAlign w:val="subscript"/>
        </w:rPr>
        <w:t>3</w:t>
      </w:r>
      <w:r w:rsidR="000B1EDF">
        <w:t>CHOO are expected to</w:t>
      </w:r>
      <w:r w:rsidR="00357B31">
        <w:t xml:space="preserve"> make comparable contributions to the absorption signal</w:t>
      </w:r>
      <w:r w:rsidR="000B1EDF">
        <w:t xml:space="preserve">. Accordingly, the observed kinetics could be interpreted in terms of a combination of fast and slow decays (attributed to </w:t>
      </w:r>
      <w:r w:rsidR="000B1EDF" w:rsidRPr="00DA2F01">
        <w:rPr>
          <w:i/>
        </w:rPr>
        <w:t>E</w:t>
      </w:r>
      <w:r w:rsidR="000B1EDF">
        <w:t xml:space="preserve">- and </w:t>
      </w:r>
      <w:r w:rsidR="000B1EDF" w:rsidRPr="00DA2F01">
        <w:rPr>
          <w:i/>
        </w:rPr>
        <w:t>Z</w:t>
      </w:r>
      <w:r w:rsidR="000B1EDF">
        <w:t>-CH</w:t>
      </w:r>
      <w:r w:rsidR="000B1EDF" w:rsidRPr="00DA2F01">
        <w:rPr>
          <w:vertAlign w:val="subscript"/>
        </w:rPr>
        <w:t>3</w:t>
      </w:r>
      <w:r w:rsidR="000B1EDF">
        <w:t>CHOO</w:t>
      </w:r>
      <w:r w:rsidR="008E1D7F">
        <w:t>,</w:t>
      </w:r>
      <w:r w:rsidR="000B1EDF">
        <w:t xml:space="preserve"> respectively). The values of </w:t>
      </w:r>
      <w:r w:rsidR="000B1EDF" w:rsidRPr="00DA2F01">
        <w:rPr>
          <w:i/>
        </w:rPr>
        <w:t>k</w:t>
      </w:r>
      <w:r w:rsidR="000B1EDF" w:rsidRPr="00DA2F01">
        <w:rPr>
          <w:vertAlign w:val="subscript"/>
        </w:rPr>
        <w:t>1</w:t>
      </w:r>
      <w:r w:rsidR="000B1EDF" w:rsidRPr="00DA2F01">
        <w:rPr>
          <w:i/>
          <w:vertAlign w:val="subscript"/>
        </w:rPr>
        <w:t>(E-</w:t>
      </w:r>
      <w:r w:rsidR="000B1EDF" w:rsidRPr="00DA2F01">
        <w:rPr>
          <w:vertAlign w:val="subscript"/>
        </w:rPr>
        <w:t>)</w:t>
      </w:r>
      <w:r w:rsidR="000B1EDF">
        <w:t xml:space="preserve"> and </w:t>
      </w:r>
      <w:r w:rsidR="000B1EDF" w:rsidRPr="00DA2F01">
        <w:rPr>
          <w:i/>
        </w:rPr>
        <w:t>k</w:t>
      </w:r>
      <w:r w:rsidR="000B1EDF" w:rsidRPr="00DA2F01">
        <w:rPr>
          <w:vertAlign w:val="subscript"/>
        </w:rPr>
        <w:t>2</w:t>
      </w:r>
      <w:r w:rsidR="000B1EDF" w:rsidRPr="00DA2F01">
        <w:rPr>
          <w:i/>
          <w:vertAlign w:val="subscript"/>
        </w:rPr>
        <w:t>(E-</w:t>
      </w:r>
      <w:r w:rsidR="000B1EDF" w:rsidRPr="00DA2F01">
        <w:rPr>
          <w:vertAlign w:val="subscript"/>
        </w:rPr>
        <w:t>)</w:t>
      </w:r>
      <w:r w:rsidR="000B1EDF">
        <w:t xml:space="preserve"> tabulated above were extracted from the pseudo-first order decay constants </w:t>
      </w:r>
      <w:r w:rsidR="00DA2F01">
        <w:t>for</w:t>
      </w:r>
      <w:r w:rsidR="000B1EDF">
        <w:t xml:space="preserve"> the fast component</w:t>
      </w:r>
      <w:r w:rsidR="00BE0048">
        <w:t xml:space="preserve"> and the concentrations of [H</w:t>
      </w:r>
      <w:r w:rsidR="00BE0048" w:rsidRPr="00DA2F01">
        <w:rPr>
          <w:vertAlign w:val="subscript"/>
        </w:rPr>
        <w:t>2</w:t>
      </w:r>
      <w:r w:rsidR="00BE0048">
        <w:t>O] and [(H</w:t>
      </w:r>
      <w:r w:rsidR="00BE0048" w:rsidRPr="00DA2F01">
        <w:rPr>
          <w:vertAlign w:val="subscript"/>
        </w:rPr>
        <w:t>2</w:t>
      </w:r>
      <w:r w:rsidR="00BE0048">
        <w:t>O)</w:t>
      </w:r>
      <w:r w:rsidR="00BE0048" w:rsidRPr="00DA2F01">
        <w:rPr>
          <w:vertAlign w:val="subscript"/>
        </w:rPr>
        <w:t>2</w:t>
      </w:r>
      <w:r w:rsidR="00BE0048">
        <w:t xml:space="preserve">], with reaction (1) dominating at low relative humidity and reaction (2) at high relative humidity. The results were consistent with a very strong </w:t>
      </w:r>
      <w:r w:rsidR="00793D72">
        <w:t xml:space="preserve">negative </w:t>
      </w:r>
      <w:r w:rsidR="00BE0048">
        <w:t>temperature dependence of reaction (2) over the studied range</w:t>
      </w:r>
      <w:r w:rsidR="00793D72">
        <w:t xml:space="preserve"> (</w:t>
      </w:r>
      <w:proofErr w:type="spellStart"/>
      <w:r w:rsidR="00793D72" w:rsidRPr="00793D72">
        <w:rPr>
          <w:i/>
        </w:rPr>
        <w:t>E</w:t>
      </w:r>
      <w:r w:rsidR="00793D72" w:rsidRPr="00793D72">
        <w:rPr>
          <w:vertAlign w:val="subscript"/>
        </w:rPr>
        <w:t>a</w:t>
      </w:r>
      <w:proofErr w:type="spellEnd"/>
      <w:r w:rsidR="00793D72">
        <w:t xml:space="preserve"> = </w:t>
      </w:r>
      <w:r w:rsidR="008E1D7F">
        <w:t>-</w:t>
      </w:r>
      <w:r w:rsidR="00793D72">
        <w:t>50.9 ± 2.8 kJ mol</w:t>
      </w:r>
      <w:r w:rsidR="00793D72" w:rsidRPr="00793D72">
        <w:rPr>
          <w:vertAlign w:val="superscript"/>
        </w:rPr>
        <w:t>-1</w:t>
      </w:r>
      <w:r w:rsidR="00793D72">
        <w:t>)</w:t>
      </w:r>
      <w:r w:rsidR="00BE0048">
        <w:t xml:space="preserve">, but an insignificant temperature dependence of reaction (1). </w:t>
      </w:r>
      <w:r w:rsidR="00102B09">
        <w:t>A</w:t>
      </w:r>
      <w:r w:rsidR="00BE0048">
        <w:t>nalysis of the slow component</w:t>
      </w:r>
      <w:r w:rsidR="00102B09">
        <w:t xml:space="preserve"> resulted in a value of </w:t>
      </w:r>
      <w:r w:rsidR="00102B09" w:rsidRPr="00DA2F01">
        <w:rPr>
          <w:i/>
        </w:rPr>
        <w:t>k</w:t>
      </w:r>
      <w:r w:rsidR="00102B09" w:rsidRPr="00DA2F01">
        <w:rPr>
          <w:vertAlign w:val="subscript"/>
        </w:rPr>
        <w:t>1</w:t>
      </w:r>
      <w:r w:rsidR="00102B09" w:rsidRPr="00DA2F01">
        <w:rPr>
          <w:i/>
          <w:vertAlign w:val="subscript"/>
        </w:rPr>
        <w:t>(Z-</w:t>
      </w:r>
      <w:r w:rsidR="00102B09" w:rsidRPr="00DA2F01">
        <w:rPr>
          <w:vertAlign w:val="subscript"/>
        </w:rPr>
        <w:t>)</w:t>
      </w:r>
      <w:r w:rsidR="00102B09">
        <w:t xml:space="preserve"> ≈ 2.4 × 10</w:t>
      </w:r>
      <w:r w:rsidR="00102B09" w:rsidRPr="00DA2F01">
        <w:rPr>
          <w:vertAlign w:val="superscript"/>
        </w:rPr>
        <w:t>-1</w:t>
      </w:r>
      <w:r w:rsidR="00102B09">
        <w:rPr>
          <w:vertAlign w:val="superscript"/>
        </w:rPr>
        <w:t>6</w:t>
      </w:r>
      <w:r w:rsidR="00102B09">
        <w:t xml:space="preserve"> cm</w:t>
      </w:r>
      <w:r w:rsidR="00102B09" w:rsidRPr="00DA2F01">
        <w:rPr>
          <w:vertAlign w:val="superscript"/>
        </w:rPr>
        <w:t>3</w:t>
      </w:r>
      <w:r w:rsidR="00102B09">
        <w:t xml:space="preserve"> molecule</w:t>
      </w:r>
      <w:r w:rsidR="00102B09" w:rsidRPr="00DA2F01">
        <w:rPr>
          <w:vertAlign w:val="superscript"/>
        </w:rPr>
        <w:t>-1</w:t>
      </w:r>
      <w:r w:rsidR="00102B09">
        <w:t xml:space="preserve"> s</w:t>
      </w:r>
      <w:r w:rsidR="00102B09" w:rsidRPr="00DA2F01">
        <w:rPr>
          <w:vertAlign w:val="superscript"/>
        </w:rPr>
        <w:t>-1</w:t>
      </w:r>
      <w:r w:rsidR="00102B09">
        <w:t xml:space="preserve"> across the studied temperature range. However, this</w:t>
      </w:r>
      <w:r w:rsidR="00BE0048">
        <w:t xml:space="preserve"> </w:t>
      </w:r>
      <w:r w:rsidR="00102B09">
        <w:t>was</w:t>
      </w:r>
      <w:r w:rsidR="00BE0048">
        <w:t xml:space="preserve"> reported to be </w:t>
      </w:r>
      <w:r w:rsidR="00102B09">
        <w:t xml:space="preserve">subject to significant uncertainty, and </w:t>
      </w:r>
      <w:r w:rsidR="00BE0048">
        <w:t xml:space="preserve">consistent with the upper limit of </w:t>
      </w:r>
      <w:r w:rsidR="00BE0048" w:rsidRPr="00DA2F01">
        <w:rPr>
          <w:i/>
        </w:rPr>
        <w:t>k</w:t>
      </w:r>
      <w:r w:rsidR="00BE0048" w:rsidRPr="00DA2F01">
        <w:rPr>
          <w:vertAlign w:val="subscript"/>
        </w:rPr>
        <w:t>1</w:t>
      </w:r>
      <w:r w:rsidR="00BE0048" w:rsidRPr="00DA2F01">
        <w:rPr>
          <w:i/>
          <w:vertAlign w:val="subscript"/>
        </w:rPr>
        <w:t>(Z-</w:t>
      </w:r>
      <w:r w:rsidR="00BE0048" w:rsidRPr="00DA2F01">
        <w:rPr>
          <w:vertAlign w:val="subscript"/>
        </w:rPr>
        <w:t>)</w:t>
      </w:r>
      <w:r w:rsidR="00BE0048">
        <w:t xml:space="preserve"> &lt; 2 × 10</w:t>
      </w:r>
      <w:r w:rsidR="00BE0048" w:rsidRPr="00DA2F01">
        <w:rPr>
          <w:vertAlign w:val="superscript"/>
        </w:rPr>
        <w:t>-1</w:t>
      </w:r>
      <w:r w:rsidR="00102B09">
        <w:rPr>
          <w:vertAlign w:val="superscript"/>
        </w:rPr>
        <w:t>6</w:t>
      </w:r>
      <w:r w:rsidR="00BE0048">
        <w:t xml:space="preserve"> cm</w:t>
      </w:r>
      <w:r w:rsidR="00BE0048" w:rsidRPr="00DA2F01">
        <w:rPr>
          <w:vertAlign w:val="superscript"/>
        </w:rPr>
        <w:t>3</w:t>
      </w:r>
      <w:r w:rsidR="00BE0048">
        <w:t xml:space="preserve"> molecule</w:t>
      </w:r>
      <w:r w:rsidR="00BE0048" w:rsidRPr="00DA2F01">
        <w:rPr>
          <w:vertAlign w:val="superscript"/>
        </w:rPr>
        <w:t>-1</w:t>
      </w:r>
      <w:r w:rsidR="00BE0048">
        <w:t xml:space="preserve"> s</w:t>
      </w:r>
      <w:r w:rsidR="00BE0048" w:rsidRPr="00DA2F01">
        <w:rPr>
          <w:vertAlign w:val="superscript"/>
        </w:rPr>
        <w:t>-1</w:t>
      </w:r>
      <w:r w:rsidR="00BE0048">
        <w:t xml:space="preserve"> reported by </w:t>
      </w:r>
      <w:proofErr w:type="spellStart"/>
      <w:r w:rsidR="00BE0048">
        <w:t>Sheps</w:t>
      </w:r>
      <w:proofErr w:type="spellEnd"/>
      <w:r w:rsidR="00BE0048">
        <w:t xml:space="preserve"> et al. (2014).</w:t>
      </w:r>
    </w:p>
    <w:p w14:paraId="448DFA31" w14:textId="0D24F369" w:rsidR="009B0CFC" w:rsidRPr="00FE35EF" w:rsidRDefault="002B035E" w:rsidP="00ED24D0">
      <w:pPr>
        <w:numPr>
          <w:ilvl w:val="0"/>
          <w:numId w:val="3"/>
        </w:numPr>
        <w:tabs>
          <w:tab w:val="left" w:pos="-1440"/>
          <w:tab w:val="left" w:pos="-720"/>
        </w:tabs>
        <w:jc w:val="both"/>
        <w:rPr>
          <w:color w:val="auto"/>
        </w:rPr>
      </w:pPr>
      <w:r>
        <w:t>CH</w:t>
      </w:r>
      <w:r>
        <w:rPr>
          <w:vertAlign w:val="subscript"/>
        </w:rPr>
        <w:t>3</w:t>
      </w:r>
      <w:r>
        <w:t>CHOO prepared by the O</w:t>
      </w:r>
      <w:r>
        <w:rPr>
          <w:vertAlign w:val="subscript"/>
        </w:rPr>
        <w:t>3</w:t>
      </w:r>
      <w:r>
        <w:t xml:space="preserve"> + </w:t>
      </w:r>
      <w:r>
        <w:rPr>
          <w:i/>
        </w:rPr>
        <w:t>trans</w:t>
      </w:r>
      <w:r>
        <w:t>-2-butene reaction in the presence of SO</w:t>
      </w:r>
      <w:r>
        <w:rPr>
          <w:vertAlign w:val="subscript"/>
        </w:rPr>
        <w:t>2</w:t>
      </w:r>
      <w:r>
        <w:t xml:space="preserve"> in a flow system, equipped with CIMS for detection of H</w:t>
      </w:r>
      <w:r>
        <w:rPr>
          <w:vertAlign w:val="subscript"/>
        </w:rPr>
        <w:t>2</w:t>
      </w:r>
      <w:r>
        <w:t>SO</w:t>
      </w:r>
      <w:r>
        <w:rPr>
          <w:vertAlign w:val="subscript"/>
        </w:rPr>
        <w:t>4</w:t>
      </w:r>
      <w:r>
        <w:t>, using NO</w:t>
      </w:r>
      <w:r>
        <w:rPr>
          <w:vertAlign w:val="subscript"/>
        </w:rPr>
        <w:t>3</w:t>
      </w:r>
      <w:r>
        <w:rPr>
          <w:vertAlign w:val="superscript"/>
        </w:rPr>
        <w:t>-</w:t>
      </w:r>
      <w:r>
        <w:t xml:space="preserve"> as reagent ion. Total pressure = 1 bar.</w:t>
      </w:r>
      <w:r w:rsidR="004E792A">
        <w:t xml:space="preserve"> Propane was also present to scavenge HO radicals.</w:t>
      </w:r>
      <w:r>
        <w:t xml:space="preserve">  The effect of [H</w:t>
      </w:r>
      <w:r>
        <w:rPr>
          <w:vertAlign w:val="subscript"/>
        </w:rPr>
        <w:t>2</w:t>
      </w:r>
      <w:r>
        <w:t>O] on yield of H</w:t>
      </w:r>
      <w:r>
        <w:rPr>
          <w:vertAlign w:val="subscript"/>
        </w:rPr>
        <w:t>2</w:t>
      </w:r>
      <w:r>
        <w:t>SO</w:t>
      </w:r>
      <w:r>
        <w:rPr>
          <w:vertAlign w:val="subscript"/>
        </w:rPr>
        <w:t>4</w:t>
      </w:r>
      <w:r>
        <w:t xml:space="preserve"> allowed determination of rate coefficient ratio </w:t>
      </w:r>
      <w:proofErr w:type="gramStart"/>
      <w:r>
        <w:rPr>
          <w:i/>
        </w:rPr>
        <w:t>k</w:t>
      </w:r>
      <w:r>
        <w:t>(</w:t>
      </w:r>
      <w:proofErr w:type="gramEnd"/>
      <w:r>
        <w:t>CH</w:t>
      </w:r>
      <w:r>
        <w:rPr>
          <w:vertAlign w:val="subscript"/>
        </w:rPr>
        <w:t>3</w:t>
      </w:r>
      <w:r>
        <w:t>CHOO + H</w:t>
      </w:r>
      <w:r>
        <w:rPr>
          <w:vertAlign w:val="subscript"/>
        </w:rPr>
        <w:t>2</w:t>
      </w:r>
      <w:r>
        <w:t>O)/</w:t>
      </w:r>
      <w:r>
        <w:rPr>
          <w:i/>
        </w:rPr>
        <w:t>k</w:t>
      </w:r>
      <w:r>
        <w:t>(CH</w:t>
      </w:r>
      <w:r>
        <w:rPr>
          <w:vertAlign w:val="subscript"/>
        </w:rPr>
        <w:t>3</w:t>
      </w:r>
      <w:r>
        <w:t>CHOO + SO</w:t>
      </w:r>
      <w:r>
        <w:rPr>
          <w:vertAlign w:val="subscript"/>
        </w:rPr>
        <w:t>2</w:t>
      </w:r>
      <w:r>
        <w:t xml:space="preserve">) = (8.8 ± 0.4) </w:t>
      </w:r>
      <w:r w:rsidRPr="006F4FFB">
        <w:rPr>
          <w:rFonts w:ascii="Symbol" w:hAnsi="Symbol" w:cs="Symbol"/>
          <w:color w:val="auto"/>
        </w:rPr>
        <w:t></w:t>
      </w:r>
      <w:r>
        <w:t xml:space="preserve"> 10</w:t>
      </w:r>
      <w:r>
        <w:rPr>
          <w:vertAlign w:val="superscript"/>
        </w:rPr>
        <w:t>-5</w:t>
      </w:r>
      <w:r>
        <w:t xml:space="preserve"> where </w:t>
      </w:r>
      <w:r>
        <w:rPr>
          <w:i/>
        </w:rPr>
        <w:t xml:space="preserve">k </w:t>
      </w:r>
      <w:r>
        <w:t xml:space="preserve">refers to the effective value for both conformers reacting. A refined analysis was conducted using a ‘two </w:t>
      </w:r>
      <w:proofErr w:type="gramStart"/>
      <w:r>
        <w:t>conformer</w:t>
      </w:r>
      <w:proofErr w:type="gramEnd"/>
      <w:r>
        <w:t xml:space="preserve">’ model where distinction is made between </w:t>
      </w:r>
      <w:r>
        <w:rPr>
          <w:i/>
        </w:rPr>
        <w:t>Z-</w:t>
      </w:r>
      <w:r>
        <w:t xml:space="preserve"> and </w:t>
      </w:r>
      <w:r>
        <w:rPr>
          <w:i/>
        </w:rPr>
        <w:t>E-</w:t>
      </w:r>
      <w:r>
        <w:t xml:space="preserve"> conformers of different reactivity, which gave an improved fit to the [H</w:t>
      </w:r>
      <w:r>
        <w:rPr>
          <w:vertAlign w:val="subscript"/>
        </w:rPr>
        <w:t>2</w:t>
      </w:r>
      <w:r>
        <w:t>SO</w:t>
      </w:r>
      <w:r>
        <w:rPr>
          <w:vertAlign w:val="subscript"/>
        </w:rPr>
        <w:t>4</w:t>
      </w:r>
      <w:r>
        <w:t xml:space="preserve">] data. Assuming that </w:t>
      </w:r>
      <w:r>
        <w:rPr>
          <w:i/>
        </w:rPr>
        <w:t>Z-</w:t>
      </w:r>
      <w:r>
        <w:t>CH</w:t>
      </w:r>
      <w:r>
        <w:rPr>
          <w:vertAlign w:val="subscript"/>
        </w:rPr>
        <w:t>3</w:t>
      </w:r>
      <w:r>
        <w:t>CHOO has negligible reactivity with H</w:t>
      </w:r>
      <w:r>
        <w:rPr>
          <w:vertAlign w:val="subscript"/>
        </w:rPr>
        <w:t>2</w:t>
      </w:r>
      <w:r>
        <w:t xml:space="preserve">O compared to the </w:t>
      </w:r>
      <w:r>
        <w:rPr>
          <w:i/>
        </w:rPr>
        <w:t xml:space="preserve">E- </w:t>
      </w:r>
      <w:r>
        <w:t>conformer, as indicated by theoretical calculations (</w:t>
      </w:r>
      <w:r w:rsidR="00E52804">
        <w:t xml:space="preserve">e.g. </w:t>
      </w:r>
      <w:proofErr w:type="spellStart"/>
      <w:r>
        <w:t>Ryzhkov</w:t>
      </w:r>
      <w:proofErr w:type="spellEnd"/>
      <w:r>
        <w:t xml:space="preserve"> and </w:t>
      </w:r>
      <w:proofErr w:type="spellStart"/>
      <w:r>
        <w:t>Ariya</w:t>
      </w:r>
      <w:proofErr w:type="spellEnd"/>
      <w:r>
        <w:t xml:space="preserve">, 2004; </w:t>
      </w:r>
      <w:proofErr w:type="spellStart"/>
      <w:r>
        <w:t>Kuwata</w:t>
      </w:r>
      <w:proofErr w:type="spellEnd"/>
      <w:r>
        <w:t xml:space="preserve"> et al., 2010), their analysis gave </w:t>
      </w:r>
      <w:r w:rsidR="003C7DD9">
        <w:rPr>
          <w:i/>
        </w:rPr>
        <w:t>k</w:t>
      </w:r>
      <w:r w:rsidR="003C7DD9" w:rsidRPr="007830A8">
        <w:rPr>
          <w:vertAlign w:val="subscript"/>
        </w:rPr>
        <w:t>1</w:t>
      </w:r>
      <w:r w:rsidR="003C7DD9" w:rsidRPr="00E52804">
        <w:rPr>
          <w:i/>
          <w:vertAlign w:val="subscript"/>
        </w:rPr>
        <w:t>(</w:t>
      </w:r>
      <w:r w:rsidR="003C7DD9">
        <w:rPr>
          <w:i/>
          <w:vertAlign w:val="subscript"/>
        </w:rPr>
        <w:t>E-</w:t>
      </w:r>
      <w:proofErr w:type="gramStart"/>
      <w:r w:rsidR="003C7DD9" w:rsidRPr="007830A8">
        <w:rPr>
          <w:vertAlign w:val="subscript"/>
        </w:rPr>
        <w:t>)</w:t>
      </w:r>
      <w:r w:rsidR="003C7DD9">
        <w:t>(</w:t>
      </w:r>
      <w:proofErr w:type="gramEnd"/>
      <w:r w:rsidR="003C7DD9">
        <w:t>CH</w:t>
      </w:r>
      <w:r w:rsidR="003C7DD9">
        <w:rPr>
          <w:vertAlign w:val="subscript"/>
        </w:rPr>
        <w:t>3</w:t>
      </w:r>
      <w:r w:rsidR="003C7DD9">
        <w:t>CHOO + H</w:t>
      </w:r>
      <w:r w:rsidR="003C7DD9">
        <w:rPr>
          <w:vertAlign w:val="subscript"/>
        </w:rPr>
        <w:t>2</w:t>
      </w:r>
      <w:r w:rsidR="003C7DD9">
        <w:t>O)/</w:t>
      </w:r>
      <w:r w:rsidR="0008365F">
        <w:rPr>
          <w:i/>
        </w:rPr>
        <w:t>k</w:t>
      </w:r>
      <w:r w:rsidR="0008365F" w:rsidRPr="00E52804">
        <w:rPr>
          <w:i/>
          <w:vertAlign w:val="subscript"/>
        </w:rPr>
        <w:t>(</w:t>
      </w:r>
      <w:r w:rsidR="0008365F">
        <w:rPr>
          <w:i/>
          <w:vertAlign w:val="subscript"/>
        </w:rPr>
        <w:t>E-</w:t>
      </w:r>
      <w:r w:rsidR="0008365F" w:rsidRPr="007830A8">
        <w:rPr>
          <w:vertAlign w:val="subscript"/>
        </w:rPr>
        <w:t>)</w:t>
      </w:r>
      <w:r w:rsidR="003C7DD9">
        <w:t>(CH</w:t>
      </w:r>
      <w:r w:rsidR="003C7DD9">
        <w:rPr>
          <w:vertAlign w:val="subscript"/>
        </w:rPr>
        <w:t>3</w:t>
      </w:r>
      <w:r w:rsidR="003C7DD9">
        <w:t>CHOO + SO</w:t>
      </w:r>
      <w:r w:rsidR="003C7DD9">
        <w:rPr>
          <w:vertAlign w:val="subscript"/>
        </w:rPr>
        <w:t>2</w:t>
      </w:r>
      <w:r w:rsidR="003C7DD9">
        <w:t>)</w:t>
      </w:r>
      <w:r>
        <w:t xml:space="preserve"> = 1.4 </w:t>
      </w:r>
      <w:r w:rsidRPr="006F4FFB">
        <w:rPr>
          <w:rFonts w:ascii="Symbol" w:hAnsi="Symbol" w:cs="Symbol"/>
          <w:color w:val="auto"/>
        </w:rPr>
        <w:t></w:t>
      </w:r>
      <w:r>
        <w:t xml:space="preserve"> 10</w:t>
      </w:r>
      <w:r>
        <w:rPr>
          <w:vertAlign w:val="superscript"/>
        </w:rPr>
        <w:t>-4</w:t>
      </w:r>
      <w:r>
        <w:t xml:space="preserve">. The </w:t>
      </w:r>
      <w:r w:rsidR="00E52804">
        <w:t>tabulated</w:t>
      </w:r>
      <w:r>
        <w:t xml:space="preserve"> value uses </w:t>
      </w:r>
      <w:r>
        <w:rPr>
          <w:i/>
        </w:rPr>
        <w:t>k</w:t>
      </w:r>
      <w:r w:rsidRPr="00E52804">
        <w:rPr>
          <w:vertAlign w:val="subscript"/>
        </w:rPr>
        <w:t>(</w:t>
      </w:r>
      <w:r w:rsidRPr="00E52804">
        <w:rPr>
          <w:i/>
          <w:vertAlign w:val="subscript"/>
        </w:rPr>
        <w:t>E</w:t>
      </w:r>
      <w:r w:rsidRPr="00E52804">
        <w:rPr>
          <w:vertAlign w:val="subscript"/>
        </w:rPr>
        <w:t>-</w:t>
      </w:r>
      <w:proofErr w:type="gramStart"/>
      <w:r w:rsidR="00E52804">
        <w:rPr>
          <w:vertAlign w:val="subscript"/>
        </w:rPr>
        <w:t>)</w:t>
      </w:r>
      <w:r w:rsidR="00E52804">
        <w:t>(</w:t>
      </w:r>
      <w:proofErr w:type="gramEnd"/>
      <w:r w:rsidR="00E52804">
        <w:t>C</w:t>
      </w:r>
      <w:r>
        <w:t>H</w:t>
      </w:r>
      <w:r>
        <w:rPr>
          <w:vertAlign w:val="subscript"/>
        </w:rPr>
        <w:t>3</w:t>
      </w:r>
      <w:r>
        <w:t>CHOO + SO</w:t>
      </w:r>
      <w:r>
        <w:rPr>
          <w:vertAlign w:val="subscript"/>
        </w:rPr>
        <w:t>2</w:t>
      </w:r>
      <w:r>
        <w:t>)</w:t>
      </w:r>
      <w:r w:rsidR="00C64475">
        <w:t xml:space="preserve"> =</w:t>
      </w:r>
      <w:r>
        <w:t xml:space="preserve"> </w:t>
      </w:r>
      <w:r w:rsidR="009C7645">
        <w:t>1.4</w:t>
      </w:r>
      <w:r w:rsidRPr="009C7645">
        <w:t xml:space="preserve"> </w:t>
      </w:r>
      <w:r w:rsidRPr="009C7645">
        <w:rPr>
          <w:rFonts w:ascii="Symbol" w:hAnsi="Symbol" w:cs="Symbol"/>
          <w:color w:val="auto"/>
        </w:rPr>
        <w:t></w:t>
      </w:r>
      <w:r w:rsidRPr="009C7645">
        <w:rPr>
          <w:rFonts w:ascii="Symbol" w:hAnsi="Symbol" w:cs="Symbol"/>
          <w:color w:val="auto"/>
        </w:rPr>
        <w:t></w:t>
      </w:r>
      <w:r w:rsidRPr="009C7645">
        <w:t>10</w:t>
      </w:r>
      <w:r w:rsidRPr="009C7645">
        <w:rPr>
          <w:vertAlign w:val="superscript"/>
        </w:rPr>
        <w:t>-10</w:t>
      </w:r>
      <w:r w:rsidRPr="0008365F">
        <w:t xml:space="preserve"> cm</w:t>
      </w:r>
      <w:r w:rsidRPr="0008365F">
        <w:rPr>
          <w:vertAlign w:val="superscript"/>
        </w:rPr>
        <w:t>3</w:t>
      </w:r>
      <w:r w:rsidR="00C64475" w:rsidRPr="00C64475">
        <w:t xml:space="preserve"> </w:t>
      </w:r>
      <w:r w:rsidRPr="0008365F">
        <w:t>molecule s</w:t>
      </w:r>
      <w:r w:rsidRPr="0008365F">
        <w:rPr>
          <w:vertAlign w:val="superscript"/>
        </w:rPr>
        <w:t>-1</w:t>
      </w:r>
      <w:r w:rsidR="00C64475">
        <w:t xml:space="preserve"> (IUPAC, current recommendation).</w:t>
      </w:r>
    </w:p>
    <w:p w14:paraId="15C3F076" w14:textId="7EC386F7" w:rsidR="00FE35EF" w:rsidRPr="009B0CFC" w:rsidRDefault="006305EE" w:rsidP="00FE35EF">
      <w:pPr>
        <w:numPr>
          <w:ilvl w:val="0"/>
          <w:numId w:val="3"/>
        </w:numPr>
        <w:tabs>
          <w:tab w:val="left" w:pos="-1440"/>
          <w:tab w:val="left" w:pos="-720"/>
        </w:tabs>
        <w:jc w:val="both"/>
        <w:rPr>
          <w:color w:val="auto"/>
        </w:rPr>
      </w:pPr>
      <w:r>
        <w:t>The removal of SO</w:t>
      </w:r>
      <w:r>
        <w:rPr>
          <w:vertAlign w:val="subscript"/>
        </w:rPr>
        <w:t>2</w:t>
      </w:r>
      <w:r>
        <w:t xml:space="preserve"> in the presence of but</w:t>
      </w:r>
      <w:r w:rsidR="004E792A">
        <w:t>-2-</w:t>
      </w:r>
      <w:r>
        <w:t>ene</w:t>
      </w:r>
      <w:r w:rsidR="004E792A">
        <w:t>/</w:t>
      </w:r>
      <w:r>
        <w:t>ozone systems was measured as a function of humidity in EUPHORE simulation chamber, under atmospheric boundary layer conditions.</w:t>
      </w:r>
      <w:r w:rsidR="004E792A">
        <w:t xml:space="preserve"> Cyclohexane was also present to scavenge HO radicals.</w:t>
      </w:r>
      <w:r>
        <w:t xml:space="preserve"> SO</w:t>
      </w:r>
      <w:r>
        <w:rPr>
          <w:vertAlign w:val="subscript"/>
        </w:rPr>
        <w:t>2</w:t>
      </w:r>
      <w:r>
        <w:t xml:space="preserve"> and O</w:t>
      </w:r>
      <w:r>
        <w:rPr>
          <w:vertAlign w:val="subscript"/>
        </w:rPr>
        <w:t>3</w:t>
      </w:r>
      <w:r>
        <w:t xml:space="preserve"> abundance were measured using conventional fluorescence and UV absorption monitors, respectively; alkene abundance was determined via FTIR spectroscopy. SO</w:t>
      </w:r>
      <w:r>
        <w:rPr>
          <w:vertAlign w:val="subscript"/>
        </w:rPr>
        <w:t>2</w:t>
      </w:r>
      <w:r>
        <w:t xml:space="preserve"> removal decreased with relative humidity (1.5 – 21%) confirming a significant reaction for CH</w:t>
      </w:r>
      <w:r>
        <w:rPr>
          <w:vertAlign w:val="subscript"/>
        </w:rPr>
        <w:t>3</w:t>
      </w:r>
      <w:r>
        <w:t>CHOO with H</w:t>
      </w:r>
      <w:r>
        <w:rPr>
          <w:vertAlign w:val="subscript"/>
        </w:rPr>
        <w:t>2</w:t>
      </w:r>
      <w:r>
        <w:t>O. The best fit to the data was obtained using a two</w:t>
      </w:r>
      <w:r w:rsidR="004E792A">
        <w:t>-</w:t>
      </w:r>
      <w:r>
        <w:t xml:space="preserve">conformer model applied to data from both </w:t>
      </w:r>
      <w:r>
        <w:rPr>
          <w:i/>
        </w:rPr>
        <w:t>cis-</w:t>
      </w:r>
      <w:r>
        <w:t xml:space="preserve"> and </w:t>
      </w:r>
      <w:r>
        <w:rPr>
          <w:i/>
        </w:rPr>
        <w:t>trans</w:t>
      </w:r>
      <w:r>
        <w:t>-2-butene isomers. The observed SO</w:t>
      </w:r>
      <w:r>
        <w:rPr>
          <w:vertAlign w:val="subscript"/>
        </w:rPr>
        <w:t>2</w:t>
      </w:r>
      <w:r>
        <w:t xml:space="preserve"> removal kinetics are consistent with </w:t>
      </w:r>
      <w:r w:rsidR="0008365F">
        <w:rPr>
          <w:i/>
        </w:rPr>
        <w:t>k</w:t>
      </w:r>
      <w:r w:rsidR="0008365F" w:rsidRPr="007830A8">
        <w:rPr>
          <w:vertAlign w:val="subscript"/>
        </w:rPr>
        <w:t>1</w:t>
      </w:r>
      <w:r w:rsidR="0008365F" w:rsidRPr="00161A42">
        <w:rPr>
          <w:i/>
          <w:vertAlign w:val="subscript"/>
        </w:rPr>
        <w:t>(</w:t>
      </w:r>
      <w:r w:rsidR="0008365F">
        <w:rPr>
          <w:i/>
          <w:vertAlign w:val="subscript"/>
        </w:rPr>
        <w:t>E-</w:t>
      </w:r>
      <w:proofErr w:type="gramStart"/>
      <w:r w:rsidR="0008365F" w:rsidRPr="007830A8">
        <w:rPr>
          <w:vertAlign w:val="subscript"/>
        </w:rPr>
        <w:t>)</w:t>
      </w:r>
      <w:r w:rsidR="0008365F">
        <w:t>(</w:t>
      </w:r>
      <w:proofErr w:type="gramEnd"/>
      <w:r w:rsidR="0008365F">
        <w:t>CH</w:t>
      </w:r>
      <w:r w:rsidR="0008365F">
        <w:rPr>
          <w:vertAlign w:val="subscript"/>
        </w:rPr>
        <w:t>3</w:t>
      </w:r>
      <w:r w:rsidR="0008365F">
        <w:t>CHOO + H</w:t>
      </w:r>
      <w:r w:rsidR="0008365F">
        <w:rPr>
          <w:vertAlign w:val="subscript"/>
        </w:rPr>
        <w:t>2</w:t>
      </w:r>
      <w:r w:rsidR="0008365F">
        <w:t>O)/</w:t>
      </w:r>
      <w:r w:rsidR="0008365F">
        <w:rPr>
          <w:i/>
        </w:rPr>
        <w:t>k</w:t>
      </w:r>
      <w:r w:rsidR="0008365F" w:rsidRPr="00161A42">
        <w:rPr>
          <w:i/>
          <w:vertAlign w:val="subscript"/>
        </w:rPr>
        <w:t>(</w:t>
      </w:r>
      <w:r w:rsidR="0008365F">
        <w:rPr>
          <w:i/>
          <w:vertAlign w:val="subscript"/>
        </w:rPr>
        <w:t>E-</w:t>
      </w:r>
      <w:r w:rsidR="0008365F" w:rsidRPr="007830A8">
        <w:rPr>
          <w:vertAlign w:val="subscript"/>
        </w:rPr>
        <w:t>)</w:t>
      </w:r>
      <w:r w:rsidR="0008365F">
        <w:t>(CH</w:t>
      </w:r>
      <w:r w:rsidR="0008365F">
        <w:rPr>
          <w:vertAlign w:val="subscript"/>
        </w:rPr>
        <w:t>3</w:t>
      </w:r>
      <w:r w:rsidR="0008365F">
        <w:t>CHOO + SO</w:t>
      </w:r>
      <w:r w:rsidR="0008365F">
        <w:rPr>
          <w:vertAlign w:val="subscript"/>
        </w:rPr>
        <w:t>2</w:t>
      </w:r>
      <w:r w:rsidR="0008365F">
        <w:t>)</w:t>
      </w:r>
      <w:r>
        <w:t xml:space="preserve"> = (3.5 ± 3.1) </w:t>
      </w:r>
      <w:r w:rsidR="003015F5" w:rsidRPr="006F4FFB">
        <w:rPr>
          <w:rFonts w:ascii="Symbol" w:hAnsi="Symbol" w:cs="Symbol"/>
          <w:color w:val="auto"/>
        </w:rPr>
        <w:t></w:t>
      </w:r>
      <w:r>
        <w:t xml:space="preserve"> 10</w:t>
      </w:r>
      <w:r>
        <w:rPr>
          <w:vertAlign w:val="superscript"/>
        </w:rPr>
        <w:t>-4</w:t>
      </w:r>
      <w:r>
        <w:t xml:space="preserve">. The cited value uses </w:t>
      </w:r>
      <w:r>
        <w:rPr>
          <w:i/>
        </w:rPr>
        <w:t>k</w:t>
      </w:r>
      <w:r w:rsidRPr="00161A42">
        <w:rPr>
          <w:vertAlign w:val="subscript"/>
        </w:rPr>
        <w:t>(</w:t>
      </w:r>
      <w:r w:rsidR="003015F5" w:rsidRPr="00161A42">
        <w:rPr>
          <w:i/>
          <w:vertAlign w:val="subscript"/>
        </w:rPr>
        <w:t>E</w:t>
      </w:r>
      <w:r w:rsidRPr="00161A42">
        <w:rPr>
          <w:vertAlign w:val="subscript"/>
        </w:rPr>
        <w:t>-</w:t>
      </w:r>
      <w:proofErr w:type="gramStart"/>
      <w:r w:rsidR="00161A42" w:rsidRPr="00161A42">
        <w:rPr>
          <w:vertAlign w:val="subscript"/>
        </w:rPr>
        <w:t>)</w:t>
      </w:r>
      <w:r w:rsidR="00161A42">
        <w:t>(</w:t>
      </w:r>
      <w:proofErr w:type="gramEnd"/>
      <w:r>
        <w:t>CH</w:t>
      </w:r>
      <w:r>
        <w:rPr>
          <w:vertAlign w:val="subscript"/>
        </w:rPr>
        <w:t>3</w:t>
      </w:r>
      <w:r>
        <w:t>CHOO + SO</w:t>
      </w:r>
      <w:r>
        <w:rPr>
          <w:vertAlign w:val="subscript"/>
        </w:rPr>
        <w:t>2</w:t>
      </w:r>
      <w:r>
        <w:t>)</w:t>
      </w:r>
      <w:r w:rsidR="00C64475">
        <w:t xml:space="preserve"> =</w:t>
      </w:r>
      <w:r>
        <w:t xml:space="preserve"> </w:t>
      </w:r>
      <w:r w:rsidR="009C7645">
        <w:t>1.4</w:t>
      </w:r>
      <w:r w:rsidRPr="009C7645">
        <w:t xml:space="preserve"> </w:t>
      </w:r>
      <w:r w:rsidR="003015F5" w:rsidRPr="009C7645">
        <w:rPr>
          <w:rFonts w:ascii="Symbol" w:hAnsi="Symbol" w:cs="Symbol"/>
          <w:color w:val="auto"/>
        </w:rPr>
        <w:t></w:t>
      </w:r>
      <w:r w:rsidR="003015F5" w:rsidRPr="009C7645">
        <w:rPr>
          <w:rFonts w:ascii="Symbol" w:hAnsi="Symbol" w:cs="Symbol"/>
          <w:color w:val="auto"/>
        </w:rPr>
        <w:t></w:t>
      </w:r>
      <w:r w:rsidRPr="009C7645">
        <w:t>10</w:t>
      </w:r>
      <w:r w:rsidRPr="009C7645">
        <w:rPr>
          <w:vertAlign w:val="superscript"/>
        </w:rPr>
        <w:t>-10</w:t>
      </w:r>
      <w:r w:rsidRPr="0008365F">
        <w:t xml:space="preserve"> cm</w:t>
      </w:r>
      <w:r w:rsidRPr="0008365F">
        <w:rPr>
          <w:vertAlign w:val="superscript"/>
        </w:rPr>
        <w:t>3</w:t>
      </w:r>
      <w:r w:rsidRPr="0008365F">
        <w:t>molecule s</w:t>
      </w:r>
      <w:r w:rsidRPr="0008365F">
        <w:rPr>
          <w:vertAlign w:val="superscript"/>
        </w:rPr>
        <w:t>-1</w:t>
      </w:r>
      <w:r w:rsidR="00C64475">
        <w:t xml:space="preserve"> (IUPAC, current recommendation)</w:t>
      </w:r>
      <w:r w:rsidR="00C64475">
        <w:t>.</w:t>
      </w:r>
    </w:p>
    <w:p w14:paraId="18EC9D5C" w14:textId="77777777" w:rsidR="00263004" w:rsidRPr="00CA56DB" w:rsidRDefault="00263004" w:rsidP="008D7B6A">
      <w:pPr>
        <w:tabs>
          <w:tab w:val="left" w:pos="-1440"/>
          <w:tab w:val="left" w:pos="-720"/>
        </w:tabs>
        <w:ind w:left="360"/>
        <w:jc w:val="both"/>
        <w:rPr>
          <w:color w:val="auto"/>
        </w:rPr>
      </w:pPr>
    </w:p>
    <w:p w14:paraId="485D98A1" w14:textId="77777777" w:rsidR="00796BA6" w:rsidRPr="00482560" w:rsidRDefault="00796BA6" w:rsidP="00796BA6">
      <w:pPr>
        <w:pStyle w:val="Heading5"/>
        <w:tabs>
          <w:tab w:val="clear" w:pos="4867"/>
          <w:tab w:val="clear" w:pos="7982"/>
          <w:tab w:val="clear" w:pos="8395"/>
          <w:tab w:val="clear" w:pos="8812"/>
        </w:tabs>
        <w:rPr>
          <w:color w:val="auto"/>
        </w:rPr>
      </w:pPr>
      <w:r w:rsidRPr="00482560">
        <w:rPr>
          <w:color w:val="auto"/>
        </w:rPr>
        <w:t>Preferred Values</w:t>
      </w:r>
    </w:p>
    <w:p w14:paraId="49B539E5" w14:textId="77777777" w:rsidR="00796BA6" w:rsidRPr="00482560" w:rsidRDefault="00796BA6" w:rsidP="00796BA6">
      <w:pPr>
        <w:tabs>
          <w:tab w:val="left" w:pos="-1440"/>
          <w:tab w:val="left" w:pos="-720"/>
          <w:tab w:val="left" w:pos="444"/>
        </w:tabs>
        <w:jc w:val="both"/>
        <w:rPr>
          <w:color w:val="auto"/>
        </w:rPr>
      </w:pPr>
    </w:p>
    <w:tbl>
      <w:tblPr>
        <w:tblW w:w="0" w:type="auto"/>
        <w:tblInd w:w="454" w:type="dxa"/>
        <w:tblLayout w:type="fixed"/>
        <w:tblLook w:val="0000" w:firstRow="0" w:lastRow="0" w:firstColumn="0" w:lastColumn="0" w:noHBand="0" w:noVBand="0"/>
      </w:tblPr>
      <w:tblGrid>
        <w:gridCol w:w="3100"/>
        <w:gridCol w:w="3430"/>
        <w:gridCol w:w="1992"/>
      </w:tblGrid>
      <w:tr w:rsidR="00796BA6" w:rsidRPr="00482560" w14:paraId="2677298C" w14:textId="77777777" w:rsidTr="00CA62A7">
        <w:tc>
          <w:tcPr>
            <w:tcW w:w="3100" w:type="dxa"/>
            <w:tcBorders>
              <w:top w:val="single" w:sz="4" w:space="0" w:color="000000"/>
              <w:bottom w:val="single" w:sz="4" w:space="0" w:color="000000"/>
            </w:tcBorders>
            <w:shd w:val="clear" w:color="auto" w:fill="auto"/>
          </w:tcPr>
          <w:p w14:paraId="487AE520" w14:textId="77777777" w:rsidR="00796BA6" w:rsidRPr="00482560" w:rsidRDefault="00796BA6" w:rsidP="00CA62A7">
            <w:pPr>
              <w:tabs>
                <w:tab w:val="left" w:pos="0"/>
                <w:tab w:val="left" w:pos="444"/>
                <w:tab w:val="left" w:pos="720"/>
              </w:tabs>
              <w:spacing w:line="240" w:lineRule="atLeast"/>
              <w:jc w:val="center"/>
              <w:rPr>
                <w:b/>
                <w:color w:val="auto"/>
                <w:spacing w:val="-3"/>
                <w:szCs w:val="24"/>
              </w:rPr>
            </w:pPr>
            <w:r w:rsidRPr="00482560">
              <w:rPr>
                <w:b/>
                <w:color w:val="auto"/>
                <w:spacing w:val="-3"/>
                <w:szCs w:val="24"/>
              </w:rPr>
              <w:t>Parameter</w:t>
            </w:r>
          </w:p>
        </w:tc>
        <w:tc>
          <w:tcPr>
            <w:tcW w:w="3430" w:type="dxa"/>
            <w:tcBorders>
              <w:top w:val="single" w:sz="4" w:space="0" w:color="000000"/>
              <w:bottom w:val="single" w:sz="4" w:space="0" w:color="000000"/>
            </w:tcBorders>
            <w:shd w:val="clear" w:color="auto" w:fill="auto"/>
          </w:tcPr>
          <w:p w14:paraId="2DB4DBC9" w14:textId="77777777" w:rsidR="00796BA6" w:rsidRPr="00482560" w:rsidRDefault="00796BA6" w:rsidP="00CA62A7">
            <w:pPr>
              <w:tabs>
                <w:tab w:val="left" w:pos="0"/>
                <w:tab w:val="left" w:pos="444"/>
                <w:tab w:val="left" w:pos="720"/>
              </w:tabs>
              <w:spacing w:line="240" w:lineRule="atLeast"/>
              <w:jc w:val="center"/>
              <w:rPr>
                <w:b/>
                <w:color w:val="auto"/>
                <w:spacing w:val="-3"/>
                <w:szCs w:val="24"/>
              </w:rPr>
            </w:pPr>
            <w:r w:rsidRPr="00482560">
              <w:rPr>
                <w:b/>
                <w:color w:val="auto"/>
                <w:spacing w:val="-3"/>
                <w:szCs w:val="24"/>
              </w:rPr>
              <w:t>Value</w:t>
            </w:r>
          </w:p>
        </w:tc>
        <w:tc>
          <w:tcPr>
            <w:tcW w:w="1992" w:type="dxa"/>
            <w:tcBorders>
              <w:top w:val="single" w:sz="4" w:space="0" w:color="000000"/>
              <w:bottom w:val="single" w:sz="4" w:space="0" w:color="000000"/>
            </w:tcBorders>
            <w:shd w:val="clear" w:color="auto" w:fill="auto"/>
          </w:tcPr>
          <w:p w14:paraId="0E607BB9" w14:textId="77777777" w:rsidR="00796BA6" w:rsidRPr="00482560" w:rsidRDefault="00796BA6" w:rsidP="00CA62A7">
            <w:pPr>
              <w:tabs>
                <w:tab w:val="left" w:pos="0"/>
                <w:tab w:val="left" w:pos="444"/>
                <w:tab w:val="left" w:pos="720"/>
              </w:tabs>
              <w:spacing w:line="240" w:lineRule="atLeast"/>
              <w:jc w:val="center"/>
              <w:rPr>
                <w:color w:val="auto"/>
              </w:rPr>
            </w:pPr>
            <w:r w:rsidRPr="00482560">
              <w:rPr>
                <w:b/>
                <w:color w:val="auto"/>
                <w:spacing w:val="-3"/>
                <w:szCs w:val="24"/>
              </w:rPr>
              <w:t>T/K</w:t>
            </w:r>
          </w:p>
        </w:tc>
      </w:tr>
      <w:tr w:rsidR="00796BA6" w:rsidRPr="00482560" w14:paraId="7350F4D5" w14:textId="77777777" w:rsidTr="00CA62A7">
        <w:tc>
          <w:tcPr>
            <w:tcW w:w="3100" w:type="dxa"/>
            <w:tcBorders>
              <w:top w:val="single" w:sz="4" w:space="0" w:color="000000"/>
            </w:tcBorders>
            <w:shd w:val="clear" w:color="auto" w:fill="auto"/>
          </w:tcPr>
          <w:p w14:paraId="4481A252" w14:textId="77777777" w:rsidR="00796BA6" w:rsidRPr="00482560" w:rsidRDefault="00796BA6" w:rsidP="00CA62A7">
            <w:pPr>
              <w:tabs>
                <w:tab w:val="left" w:pos="0"/>
                <w:tab w:val="left" w:pos="444"/>
                <w:tab w:val="left" w:pos="720"/>
              </w:tabs>
              <w:snapToGrid w:val="0"/>
              <w:spacing w:line="240" w:lineRule="atLeast"/>
              <w:jc w:val="center"/>
              <w:rPr>
                <w:i/>
                <w:color w:val="auto"/>
                <w:spacing w:val="-3"/>
                <w:szCs w:val="24"/>
              </w:rPr>
            </w:pPr>
          </w:p>
        </w:tc>
        <w:tc>
          <w:tcPr>
            <w:tcW w:w="3430" w:type="dxa"/>
            <w:tcBorders>
              <w:top w:val="single" w:sz="4" w:space="0" w:color="000000"/>
            </w:tcBorders>
            <w:shd w:val="clear" w:color="auto" w:fill="auto"/>
          </w:tcPr>
          <w:p w14:paraId="3C3D020D" w14:textId="77777777" w:rsidR="00796BA6" w:rsidRPr="00482560" w:rsidRDefault="00796BA6" w:rsidP="00CA62A7">
            <w:pPr>
              <w:tabs>
                <w:tab w:val="left" w:pos="0"/>
                <w:tab w:val="left" w:pos="444"/>
                <w:tab w:val="left" w:pos="720"/>
              </w:tabs>
              <w:snapToGrid w:val="0"/>
              <w:spacing w:line="240" w:lineRule="atLeast"/>
              <w:rPr>
                <w:color w:val="auto"/>
                <w:spacing w:val="-3"/>
                <w:szCs w:val="24"/>
              </w:rPr>
            </w:pPr>
          </w:p>
        </w:tc>
        <w:tc>
          <w:tcPr>
            <w:tcW w:w="1992" w:type="dxa"/>
            <w:tcBorders>
              <w:top w:val="single" w:sz="4" w:space="0" w:color="000000"/>
            </w:tcBorders>
            <w:shd w:val="clear" w:color="auto" w:fill="auto"/>
          </w:tcPr>
          <w:p w14:paraId="0B847389" w14:textId="77777777" w:rsidR="00796BA6" w:rsidRPr="00482560" w:rsidRDefault="00796BA6" w:rsidP="00CA62A7">
            <w:pPr>
              <w:tabs>
                <w:tab w:val="left" w:pos="0"/>
                <w:tab w:val="left" w:pos="444"/>
                <w:tab w:val="left" w:pos="720"/>
              </w:tabs>
              <w:snapToGrid w:val="0"/>
              <w:spacing w:line="240" w:lineRule="atLeast"/>
              <w:jc w:val="center"/>
              <w:rPr>
                <w:color w:val="auto"/>
                <w:spacing w:val="-3"/>
                <w:szCs w:val="24"/>
              </w:rPr>
            </w:pPr>
          </w:p>
        </w:tc>
      </w:tr>
      <w:tr w:rsidR="00796BA6" w:rsidRPr="00482560" w14:paraId="788E501E" w14:textId="77777777" w:rsidTr="00CA62A7">
        <w:tc>
          <w:tcPr>
            <w:tcW w:w="3100" w:type="dxa"/>
            <w:shd w:val="clear" w:color="auto" w:fill="auto"/>
          </w:tcPr>
          <w:p w14:paraId="03CD73B6" w14:textId="77777777" w:rsidR="00796BA6" w:rsidRPr="00482560" w:rsidRDefault="00482560" w:rsidP="00CA62A7">
            <w:pPr>
              <w:tabs>
                <w:tab w:val="left" w:pos="0"/>
                <w:tab w:val="left" w:pos="444"/>
                <w:tab w:val="left" w:pos="720"/>
              </w:tabs>
              <w:spacing w:line="240" w:lineRule="atLeast"/>
              <w:jc w:val="center"/>
              <w:rPr>
                <w:color w:val="auto"/>
                <w:spacing w:val="-3"/>
              </w:rPr>
            </w:pPr>
            <w:r w:rsidRPr="001D3940">
              <w:rPr>
                <w:i/>
                <w:color w:val="auto"/>
                <w:spacing w:val="-3"/>
                <w:szCs w:val="24"/>
              </w:rPr>
              <w:t>k</w:t>
            </w:r>
            <w:r w:rsidRPr="00482560">
              <w:rPr>
                <w:color w:val="auto"/>
                <w:spacing w:val="-3"/>
                <w:szCs w:val="24"/>
                <w:vertAlign w:val="subscript"/>
              </w:rPr>
              <w:t>1</w:t>
            </w:r>
            <w:r w:rsidRPr="00B11AA9">
              <w:rPr>
                <w:color w:val="auto"/>
                <w:spacing w:val="-3"/>
                <w:szCs w:val="24"/>
                <w:vertAlign w:val="subscript"/>
              </w:rPr>
              <w:t>(</w:t>
            </w:r>
            <w:r w:rsidRPr="00B11AA9">
              <w:rPr>
                <w:i/>
                <w:color w:val="auto"/>
                <w:spacing w:val="-3"/>
                <w:szCs w:val="24"/>
                <w:vertAlign w:val="subscript"/>
              </w:rPr>
              <w:t>Z</w:t>
            </w:r>
            <w:r w:rsidRPr="00B11AA9">
              <w:rPr>
                <w:color w:val="auto"/>
                <w:spacing w:val="-3"/>
                <w:szCs w:val="24"/>
                <w:vertAlign w:val="subscript"/>
              </w:rPr>
              <w:t>-)</w:t>
            </w:r>
            <w:r w:rsidR="00796BA6" w:rsidRPr="00482560">
              <w:rPr>
                <w:color w:val="auto"/>
                <w:spacing w:val="-3"/>
                <w:szCs w:val="24"/>
              </w:rPr>
              <w:t xml:space="preserve"> /cm</w:t>
            </w:r>
            <w:r w:rsidR="00796BA6" w:rsidRPr="00482560">
              <w:rPr>
                <w:color w:val="auto"/>
                <w:spacing w:val="-3"/>
                <w:szCs w:val="24"/>
                <w:vertAlign w:val="superscript"/>
              </w:rPr>
              <w:t>3</w:t>
            </w:r>
            <w:r w:rsidR="00796BA6" w:rsidRPr="00482560">
              <w:rPr>
                <w:color w:val="auto"/>
                <w:spacing w:val="-3"/>
                <w:szCs w:val="24"/>
              </w:rPr>
              <w:t xml:space="preserve"> molecule</w:t>
            </w:r>
            <w:r w:rsidR="00796BA6" w:rsidRPr="00482560">
              <w:rPr>
                <w:color w:val="auto"/>
                <w:spacing w:val="-3"/>
                <w:szCs w:val="24"/>
                <w:vertAlign w:val="superscript"/>
              </w:rPr>
              <w:t>-1</w:t>
            </w:r>
            <w:r w:rsidR="00796BA6" w:rsidRPr="00482560">
              <w:rPr>
                <w:color w:val="auto"/>
                <w:spacing w:val="-3"/>
                <w:szCs w:val="24"/>
              </w:rPr>
              <w:t xml:space="preserve"> s</w:t>
            </w:r>
            <w:r w:rsidR="00796BA6" w:rsidRPr="00482560">
              <w:rPr>
                <w:color w:val="auto"/>
                <w:spacing w:val="-3"/>
                <w:szCs w:val="24"/>
                <w:vertAlign w:val="superscript"/>
              </w:rPr>
              <w:t>-1</w:t>
            </w:r>
          </w:p>
        </w:tc>
        <w:tc>
          <w:tcPr>
            <w:tcW w:w="3430" w:type="dxa"/>
            <w:shd w:val="clear" w:color="auto" w:fill="auto"/>
          </w:tcPr>
          <w:p w14:paraId="7BDCC8FB" w14:textId="77777777" w:rsidR="00796BA6" w:rsidRPr="00482560" w:rsidRDefault="00482560" w:rsidP="00482560">
            <w:pPr>
              <w:tabs>
                <w:tab w:val="left" w:pos="0"/>
                <w:tab w:val="left" w:pos="444"/>
                <w:tab w:val="left" w:pos="720"/>
              </w:tabs>
              <w:spacing w:line="240" w:lineRule="atLeast"/>
              <w:rPr>
                <w:color w:val="auto"/>
                <w:spacing w:val="-3"/>
                <w:szCs w:val="24"/>
              </w:rPr>
            </w:pPr>
            <w:r>
              <w:t>&lt; 2</w:t>
            </w:r>
            <w:r w:rsidR="00796BA6" w:rsidRPr="00482560">
              <w:t xml:space="preserve"> </w:t>
            </w:r>
            <w:r w:rsidR="00796BA6" w:rsidRPr="00482560">
              <w:rPr>
                <w:rFonts w:ascii="Symbol" w:hAnsi="Symbol" w:cs="Symbol"/>
                <w:color w:val="auto"/>
              </w:rPr>
              <w:t></w:t>
            </w:r>
            <w:r w:rsidR="00796BA6" w:rsidRPr="00482560">
              <w:t xml:space="preserve"> 10</w:t>
            </w:r>
            <w:r w:rsidR="00796BA6" w:rsidRPr="00482560">
              <w:rPr>
                <w:vertAlign w:val="superscript"/>
              </w:rPr>
              <w:t>-1</w:t>
            </w:r>
            <w:r>
              <w:rPr>
                <w:vertAlign w:val="superscript"/>
              </w:rPr>
              <w:t>6</w:t>
            </w:r>
          </w:p>
        </w:tc>
        <w:tc>
          <w:tcPr>
            <w:tcW w:w="1992" w:type="dxa"/>
            <w:shd w:val="clear" w:color="auto" w:fill="auto"/>
          </w:tcPr>
          <w:p w14:paraId="60174A68" w14:textId="77777777" w:rsidR="00796BA6" w:rsidRPr="00482560" w:rsidRDefault="00796BA6" w:rsidP="00CA62A7">
            <w:pPr>
              <w:tabs>
                <w:tab w:val="left" w:pos="0"/>
                <w:tab w:val="left" w:pos="444"/>
                <w:tab w:val="left" w:pos="720"/>
              </w:tabs>
              <w:spacing w:line="240" w:lineRule="atLeast"/>
              <w:jc w:val="center"/>
              <w:rPr>
                <w:color w:val="auto"/>
              </w:rPr>
            </w:pPr>
            <w:r w:rsidRPr="00482560">
              <w:rPr>
                <w:color w:val="auto"/>
                <w:spacing w:val="-3"/>
                <w:szCs w:val="24"/>
              </w:rPr>
              <w:t>298</w:t>
            </w:r>
          </w:p>
        </w:tc>
      </w:tr>
      <w:tr w:rsidR="00482560" w:rsidRPr="00482560" w14:paraId="12B7EB10" w14:textId="77777777" w:rsidTr="00CA62A7">
        <w:tc>
          <w:tcPr>
            <w:tcW w:w="3100" w:type="dxa"/>
            <w:shd w:val="clear" w:color="auto" w:fill="auto"/>
          </w:tcPr>
          <w:p w14:paraId="06A49506" w14:textId="77777777" w:rsidR="00482560" w:rsidRPr="00482560" w:rsidRDefault="00482560" w:rsidP="00482560">
            <w:pPr>
              <w:tabs>
                <w:tab w:val="left" w:pos="0"/>
                <w:tab w:val="left" w:pos="444"/>
                <w:tab w:val="left" w:pos="720"/>
              </w:tabs>
              <w:spacing w:line="240" w:lineRule="atLeast"/>
              <w:jc w:val="center"/>
              <w:rPr>
                <w:color w:val="auto"/>
                <w:spacing w:val="-3"/>
              </w:rPr>
            </w:pPr>
            <w:r w:rsidRPr="001D3940">
              <w:rPr>
                <w:i/>
                <w:color w:val="auto"/>
                <w:spacing w:val="-3"/>
                <w:szCs w:val="24"/>
              </w:rPr>
              <w:t>k</w:t>
            </w:r>
            <w:r>
              <w:rPr>
                <w:color w:val="auto"/>
                <w:spacing w:val="-3"/>
                <w:szCs w:val="24"/>
                <w:vertAlign w:val="subscript"/>
              </w:rPr>
              <w:t>1</w:t>
            </w:r>
            <w:r w:rsidRPr="00B11AA9">
              <w:rPr>
                <w:color w:val="auto"/>
                <w:spacing w:val="-3"/>
                <w:szCs w:val="24"/>
                <w:vertAlign w:val="subscript"/>
              </w:rPr>
              <w:t>(</w:t>
            </w:r>
            <w:r>
              <w:rPr>
                <w:i/>
                <w:color w:val="auto"/>
                <w:spacing w:val="-3"/>
                <w:szCs w:val="24"/>
                <w:vertAlign w:val="subscript"/>
              </w:rPr>
              <w:t>E</w:t>
            </w:r>
            <w:r w:rsidRPr="00B11AA9">
              <w:rPr>
                <w:color w:val="auto"/>
                <w:spacing w:val="-3"/>
                <w:szCs w:val="24"/>
                <w:vertAlign w:val="subscript"/>
              </w:rPr>
              <w:t>-)</w:t>
            </w:r>
            <w:r w:rsidRPr="00482560">
              <w:rPr>
                <w:color w:val="auto"/>
                <w:spacing w:val="-3"/>
                <w:szCs w:val="24"/>
              </w:rPr>
              <w:t xml:space="preserve"> /cm</w:t>
            </w:r>
            <w:r w:rsidRPr="00482560">
              <w:rPr>
                <w:color w:val="auto"/>
                <w:spacing w:val="-3"/>
                <w:szCs w:val="24"/>
                <w:vertAlign w:val="superscript"/>
              </w:rPr>
              <w:t>3</w:t>
            </w:r>
            <w:r w:rsidRPr="00482560">
              <w:rPr>
                <w:color w:val="auto"/>
                <w:spacing w:val="-3"/>
                <w:szCs w:val="24"/>
              </w:rPr>
              <w:t xml:space="preserve"> molecule</w:t>
            </w:r>
            <w:r w:rsidRPr="00482560">
              <w:rPr>
                <w:color w:val="auto"/>
                <w:spacing w:val="-3"/>
                <w:szCs w:val="24"/>
                <w:vertAlign w:val="superscript"/>
              </w:rPr>
              <w:t>-1</w:t>
            </w:r>
            <w:r w:rsidRPr="00482560">
              <w:rPr>
                <w:color w:val="auto"/>
                <w:spacing w:val="-3"/>
                <w:szCs w:val="24"/>
              </w:rPr>
              <w:t xml:space="preserve"> s</w:t>
            </w:r>
            <w:r w:rsidRPr="00482560">
              <w:rPr>
                <w:color w:val="auto"/>
                <w:spacing w:val="-3"/>
                <w:szCs w:val="24"/>
                <w:vertAlign w:val="superscript"/>
              </w:rPr>
              <w:t>-1</w:t>
            </w:r>
          </w:p>
        </w:tc>
        <w:tc>
          <w:tcPr>
            <w:tcW w:w="3430" w:type="dxa"/>
            <w:shd w:val="clear" w:color="auto" w:fill="auto"/>
          </w:tcPr>
          <w:p w14:paraId="72F5C00C" w14:textId="77777777" w:rsidR="00482560" w:rsidRPr="00482560" w:rsidRDefault="00482560" w:rsidP="00DA2F01">
            <w:pPr>
              <w:tabs>
                <w:tab w:val="left" w:pos="0"/>
                <w:tab w:val="left" w:pos="444"/>
                <w:tab w:val="left" w:pos="720"/>
              </w:tabs>
              <w:spacing w:line="240" w:lineRule="atLeast"/>
              <w:rPr>
                <w:color w:val="auto"/>
                <w:spacing w:val="-3"/>
                <w:szCs w:val="24"/>
              </w:rPr>
            </w:pPr>
            <w:r>
              <w:t xml:space="preserve"> </w:t>
            </w:r>
            <w:r w:rsidR="00DA2F01">
              <w:t>1.3</w:t>
            </w:r>
            <w:r w:rsidRPr="00482560">
              <w:t xml:space="preserve"> </w:t>
            </w:r>
            <w:r w:rsidRPr="00482560">
              <w:rPr>
                <w:rFonts w:ascii="Symbol" w:hAnsi="Symbol" w:cs="Symbol"/>
                <w:color w:val="auto"/>
              </w:rPr>
              <w:t></w:t>
            </w:r>
            <w:r w:rsidRPr="00482560">
              <w:t xml:space="preserve"> 10</w:t>
            </w:r>
            <w:r w:rsidRPr="00482560">
              <w:rPr>
                <w:vertAlign w:val="superscript"/>
              </w:rPr>
              <w:t>-1</w:t>
            </w:r>
            <w:r>
              <w:rPr>
                <w:vertAlign w:val="superscript"/>
              </w:rPr>
              <w:t>4</w:t>
            </w:r>
          </w:p>
        </w:tc>
        <w:tc>
          <w:tcPr>
            <w:tcW w:w="1992" w:type="dxa"/>
            <w:shd w:val="clear" w:color="auto" w:fill="auto"/>
          </w:tcPr>
          <w:p w14:paraId="58D58764" w14:textId="77777777" w:rsidR="00482560" w:rsidRPr="00482560" w:rsidRDefault="00482560" w:rsidP="00F0611F">
            <w:pPr>
              <w:tabs>
                <w:tab w:val="left" w:pos="0"/>
                <w:tab w:val="left" w:pos="444"/>
                <w:tab w:val="left" w:pos="720"/>
              </w:tabs>
              <w:spacing w:line="240" w:lineRule="atLeast"/>
              <w:jc w:val="center"/>
              <w:rPr>
                <w:color w:val="auto"/>
              </w:rPr>
            </w:pPr>
            <w:r w:rsidRPr="00482560">
              <w:rPr>
                <w:color w:val="auto"/>
                <w:spacing w:val="-3"/>
                <w:szCs w:val="24"/>
              </w:rPr>
              <w:t>298</w:t>
            </w:r>
          </w:p>
        </w:tc>
      </w:tr>
      <w:tr w:rsidR="00DA2F01" w:rsidRPr="00482560" w14:paraId="11DA7C84" w14:textId="77777777" w:rsidTr="00CA62A7">
        <w:tc>
          <w:tcPr>
            <w:tcW w:w="3100" w:type="dxa"/>
            <w:shd w:val="clear" w:color="auto" w:fill="auto"/>
          </w:tcPr>
          <w:p w14:paraId="34C16F39" w14:textId="77777777" w:rsidR="00DA2F01" w:rsidRPr="00482560" w:rsidRDefault="00DA2F01" w:rsidP="00DA2F01">
            <w:pPr>
              <w:tabs>
                <w:tab w:val="left" w:pos="0"/>
                <w:tab w:val="left" w:pos="444"/>
                <w:tab w:val="left" w:pos="720"/>
              </w:tabs>
              <w:spacing w:line="240" w:lineRule="atLeast"/>
              <w:jc w:val="center"/>
              <w:rPr>
                <w:color w:val="auto"/>
                <w:spacing w:val="-3"/>
              </w:rPr>
            </w:pPr>
            <w:r w:rsidRPr="001D3940">
              <w:rPr>
                <w:i/>
                <w:color w:val="auto"/>
                <w:spacing w:val="-3"/>
                <w:szCs w:val="24"/>
              </w:rPr>
              <w:t>k</w:t>
            </w:r>
            <w:r>
              <w:rPr>
                <w:color w:val="auto"/>
                <w:spacing w:val="-3"/>
                <w:szCs w:val="24"/>
                <w:vertAlign w:val="subscript"/>
              </w:rPr>
              <w:t>2</w:t>
            </w:r>
            <w:r w:rsidRPr="00B11AA9">
              <w:rPr>
                <w:color w:val="auto"/>
                <w:spacing w:val="-3"/>
                <w:szCs w:val="24"/>
                <w:vertAlign w:val="subscript"/>
              </w:rPr>
              <w:t>(</w:t>
            </w:r>
            <w:r>
              <w:rPr>
                <w:i/>
                <w:color w:val="auto"/>
                <w:spacing w:val="-3"/>
                <w:szCs w:val="24"/>
                <w:vertAlign w:val="subscript"/>
              </w:rPr>
              <w:t>E</w:t>
            </w:r>
            <w:r w:rsidRPr="00B11AA9">
              <w:rPr>
                <w:color w:val="auto"/>
                <w:spacing w:val="-3"/>
                <w:szCs w:val="24"/>
                <w:vertAlign w:val="subscript"/>
              </w:rPr>
              <w:t>-)</w:t>
            </w:r>
            <w:r w:rsidRPr="00482560">
              <w:rPr>
                <w:color w:val="auto"/>
                <w:spacing w:val="-3"/>
                <w:szCs w:val="24"/>
              </w:rPr>
              <w:t xml:space="preserve"> /cm</w:t>
            </w:r>
            <w:r w:rsidRPr="00482560">
              <w:rPr>
                <w:color w:val="auto"/>
                <w:spacing w:val="-3"/>
                <w:szCs w:val="24"/>
                <w:vertAlign w:val="superscript"/>
              </w:rPr>
              <w:t>3</w:t>
            </w:r>
            <w:r w:rsidRPr="00482560">
              <w:rPr>
                <w:color w:val="auto"/>
                <w:spacing w:val="-3"/>
                <w:szCs w:val="24"/>
              </w:rPr>
              <w:t xml:space="preserve"> molecule</w:t>
            </w:r>
            <w:r w:rsidRPr="00482560">
              <w:rPr>
                <w:color w:val="auto"/>
                <w:spacing w:val="-3"/>
                <w:szCs w:val="24"/>
                <w:vertAlign w:val="superscript"/>
              </w:rPr>
              <w:t>-1</w:t>
            </w:r>
            <w:r w:rsidRPr="00482560">
              <w:rPr>
                <w:color w:val="auto"/>
                <w:spacing w:val="-3"/>
                <w:szCs w:val="24"/>
              </w:rPr>
              <w:t xml:space="preserve"> s</w:t>
            </w:r>
            <w:r w:rsidRPr="00482560">
              <w:rPr>
                <w:color w:val="auto"/>
                <w:spacing w:val="-3"/>
                <w:szCs w:val="24"/>
                <w:vertAlign w:val="superscript"/>
              </w:rPr>
              <w:t>-1</w:t>
            </w:r>
          </w:p>
        </w:tc>
        <w:tc>
          <w:tcPr>
            <w:tcW w:w="3430" w:type="dxa"/>
            <w:shd w:val="clear" w:color="auto" w:fill="auto"/>
          </w:tcPr>
          <w:p w14:paraId="7BD4B033" w14:textId="77777777" w:rsidR="00DA2F01" w:rsidRPr="00482560" w:rsidRDefault="00DA2F01" w:rsidP="00DA2F01">
            <w:pPr>
              <w:tabs>
                <w:tab w:val="left" w:pos="0"/>
                <w:tab w:val="left" w:pos="444"/>
                <w:tab w:val="left" w:pos="720"/>
              </w:tabs>
              <w:spacing w:line="240" w:lineRule="atLeast"/>
              <w:rPr>
                <w:color w:val="auto"/>
                <w:spacing w:val="-3"/>
                <w:szCs w:val="24"/>
              </w:rPr>
            </w:pPr>
            <w:r>
              <w:t xml:space="preserve"> 4.4</w:t>
            </w:r>
            <w:r w:rsidRPr="00482560">
              <w:t xml:space="preserve"> </w:t>
            </w:r>
            <w:r w:rsidRPr="00482560">
              <w:rPr>
                <w:rFonts w:ascii="Symbol" w:hAnsi="Symbol" w:cs="Symbol"/>
                <w:color w:val="auto"/>
              </w:rPr>
              <w:t></w:t>
            </w:r>
            <w:r w:rsidRPr="00482560">
              <w:t xml:space="preserve"> 10</w:t>
            </w:r>
            <w:r w:rsidRPr="00482560">
              <w:rPr>
                <w:vertAlign w:val="superscript"/>
              </w:rPr>
              <w:t>-1</w:t>
            </w:r>
            <w:r>
              <w:rPr>
                <w:vertAlign w:val="superscript"/>
              </w:rPr>
              <w:t>1</w:t>
            </w:r>
          </w:p>
        </w:tc>
        <w:tc>
          <w:tcPr>
            <w:tcW w:w="1992" w:type="dxa"/>
            <w:shd w:val="clear" w:color="auto" w:fill="auto"/>
          </w:tcPr>
          <w:p w14:paraId="29789435" w14:textId="77777777" w:rsidR="00DA2F01" w:rsidRPr="00482560" w:rsidRDefault="00DA2F01" w:rsidP="00CE0F29">
            <w:pPr>
              <w:tabs>
                <w:tab w:val="left" w:pos="0"/>
                <w:tab w:val="left" w:pos="444"/>
                <w:tab w:val="left" w:pos="720"/>
              </w:tabs>
              <w:spacing w:line="240" w:lineRule="atLeast"/>
              <w:jc w:val="center"/>
              <w:rPr>
                <w:color w:val="auto"/>
              </w:rPr>
            </w:pPr>
            <w:r w:rsidRPr="00482560">
              <w:rPr>
                <w:color w:val="auto"/>
                <w:spacing w:val="-3"/>
                <w:szCs w:val="24"/>
              </w:rPr>
              <w:t>298</w:t>
            </w:r>
          </w:p>
        </w:tc>
      </w:tr>
    </w:tbl>
    <w:p w14:paraId="05E77D78" w14:textId="77777777" w:rsidR="00796BA6" w:rsidRPr="00482560" w:rsidRDefault="00796BA6" w:rsidP="00796BA6">
      <w:pPr>
        <w:tabs>
          <w:tab w:val="left" w:pos="0"/>
          <w:tab w:val="left" w:pos="444"/>
          <w:tab w:val="left" w:pos="720"/>
        </w:tabs>
        <w:spacing w:line="240" w:lineRule="atLeast"/>
        <w:jc w:val="both"/>
        <w:rPr>
          <w:color w:val="auto"/>
        </w:rPr>
      </w:pPr>
    </w:p>
    <w:p w14:paraId="1CC509D6" w14:textId="77777777" w:rsidR="00796BA6" w:rsidRPr="00482560" w:rsidRDefault="00796BA6" w:rsidP="00796BA6">
      <w:pPr>
        <w:tabs>
          <w:tab w:val="left" w:pos="0"/>
          <w:tab w:val="left" w:pos="444"/>
          <w:tab w:val="left" w:pos="720"/>
        </w:tabs>
        <w:spacing w:line="240" w:lineRule="atLeast"/>
        <w:jc w:val="both"/>
        <w:rPr>
          <w:rFonts w:ascii="Symbol" w:hAnsi="Symbol"/>
          <w:color w:val="auto"/>
          <w:spacing w:val="-3"/>
          <w:szCs w:val="24"/>
        </w:rPr>
      </w:pPr>
      <w:r w:rsidRPr="00482560">
        <w:rPr>
          <w:i/>
          <w:color w:val="auto"/>
          <w:spacing w:val="-3"/>
          <w:szCs w:val="24"/>
        </w:rPr>
        <w:t>Reliability</w:t>
      </w:r>
    </w:p>
    <w:tbl>
      <w:tblPr>
        <w:tblW w:w="0" w:type="auto"/>
        <w:tblInd w:w="454" w:type="dxa"/>
        <w:tblLayout w:type="fixed"/>
        <w:tblLook w:val="0000" w:firstRow="0" w:lastRow="0" w:firstColumn="0" w:lastColumn="0" w:noHBand="0" w:noVBand="0"/>
      </w:tblPr>
      <w:tblGrid>
        <w:gridCol w:w="3056"/>
        <w:gridCol w:w="3455"/>
        <w:gridCol w:w="2011"/>
      </w:tblGrid>
      <w:tr w:rsidR="00796BA6" w:rsidRPr="00482560" w14:paraId="39CC5B49" w14:textId="77777777" w:rsidTr="00AA508A">
        <w:tc>
          <w:tcPr>
            <w:tcW w:w="3056" w:type="dxa"/>
            <w:shd w:val="clear" w:color="auto" w:fill="auto"/>
          </w:tcPr>
          <w:p w14:paraId="4E1714C8" w14:textId="77777777" w:rsidR="00796BA6" w:rsidRPr="00482560" w:rsidRDefault="00796BA6" w:rsidP="00DA2F01">
            <w:pPr>
              <w:tabs>
                <w:tab w:val="left" w:pos="0"/>
                <w:tab w:val="left" w:pos="444"/>
                <w:tab w:val="left" w:pos="720"/>
              </w:tabs>
              <w:spacing w:line="240" w:lineRule="atLeast"/>
              <w:jc w:val="center"/>
              <w:rPr>
                <w:color w:val="auto"/>
                <w:spacing w:val="-3"/>
                <w:szCs w:val="24"/>
              </w:rPr>
            </w:pPr>
            <w:r w:rsidRPr="00482560">
              <w:rPr>
                <w:rFonts w:ascii="Symbol" w:hAnsi="Symbol"/>
                <w:color w:val="auto"/>
                <w:spacing w:val="-3"/>
                <w:szCs w:val="24"/>
              </w:rPr>
              <w:t></w:t>
            </w:r>
            <w:r w:rsidRPr="00482560">
              <w:rPr>
                <w:color w:val="auto"/>
                <w:spacing w:val="-3"/>
                <w:szCs w:val="24"/>
              </w:rPr>
              <w:t xml:space="preserve"> log</w:t>
            </w:r>
            <w:r w:rsidRPr="00482560">
              <w:rPr>
                <w:i/>
                <w:color w:val="auto"/>
                <w:spacing w:val="-3"/>
                <w:szCs w:val="24"/>
              </w:rPr>
              <w:t xml:space="preserve"> </w:t>
            </w:r>
            <w:r w:rsidR="00482560" w:rsidRPr="001D3940">
              <w:rPr>
                <w:i/>
                <w:color w:val="auto"/>
                <w:spacing w:val="-3"/>
                <w:szCs w:val="24"/>
              </w:rPr>
              <w:t>k</w:t>
            </w:r>
            <w:r w:rsidR="00482560">
              <w:rPr>
                <w:color w:val="auto"/>
                <w:spacing w:val="-3"/>
                <w:szCs w:val="24"/>
                <w:vertAlign w:val="subscript"/>
              </w:rPr>
              <w:t>1</w:t>
            </w:r>
            <w:r w:rsidR="00482560" w:rsidRPr="00B11AA9">
              <w:rPr>
                <w:color w:val="auto"/>
                <w:spacing w:val="-3"/>
                <w:szCs w:val="24"/>
                <w:vertAlign w:val="subscript"/>
              </w:rPr>
              <w:t>(</w:t>
            </w:r>
            <w:r w:rsidR="00482560">
              <w:rPr>
                <w:i/>
                <w:color w:val="auto"/>
                <w:spacing w:val="-3"/>
                <w:szCs w:val="24"/>
                <w:vertAlign w:val="subscript"/>
              </w:rPr>
              <w:t>E</w:t>
            </w:r>
            <w:r w:rsidR="00482560" w:rsidRPr="00B11AA9">
              <w:rPr>
                <w:color w:val="auto"/>
                <w:spacing w:val="-3"/>
                <w:szCs w:val="24"/>
                <w:vertAlign w:val="subscript"/>
              </w:rPr>
              <w:t>-)</w:t>
            </w:r>
          </w:p>
        </w:tc>
        <w:tc>
          <w:tcPr>
            <w:tcW w:w="3455" w:type="dxa"/>
            <w:shd w:val="clear" w:color="auto" w:fill="auto"/>
          </w:tcPr>
          <w:p w14:paraId="668525C7" w14:textId="77777777" w:rsidR="00796BA6" w:rsidRPr="00482560" w:rsidRDefault="00796BA6" w:rsidP="00DA2F01">
            <w:pPr>
              <w:tabs>
                <w:tab w:val="left" w:pos="0"/>
                <w:tab w:val="left" w:pos="444"/>
                <w:tab w:val="left" w:pos="720"/>
              </w:tabs>
              <w:spacing w:line="240" w:lineRule="atLeast"/>
              <w:rPr>
                <w:color w:val="auto"/>
                <w:spacing w:val="-3"/>
                <w:szCs w:val="24"/>
              </w:rPr>
            </w:pPr>
            <w:r w:rsidRPr="00482560">
              <w:rPr>
                <w:color w:val="auto"/>
                <w:spacing w:val="-3"/>
                <w:szCs w:val="24"/>
              </w:rPr>
              <w:t>± 0.</w:t>
            </w:r>
            <w:r w:rsidR="00482560">
              <w:rPr>
                <w:color w:val="auto"/>
                <w:spacing w:val="-3"/>
                <w:szCs w:val="24"/>
              </w:rPr>
              <w:t>3</w:t>
            </w:r>
          </w:p>
        </w:tc>
        <w:tc>
          <w:tcPr>
            <w:tcW w:w="2011" w:type="dxa"/>
            <w:shd w:val="clear" w:color="auto" w:fill="auto"/>
          </w:tcPr>
          <w:p w14:paraId="1D073D6E" w14:textId="77777777" w:rsidR="00796BA6" w:rsidRPr="00482560" w:rsidRDefault="00796BA6" w:rsidP="00DA2F01">
            <w:pPr>
              <w:tabs>
                <w:tab w:val="left" w:pos="0"/>
                <w:tab w:val="left" w:pos="444"/>
                <w:tab w:val="left" w:pos="720"/>
              </w:tabs>
              <w:spacing w:line="240" w:lineRule="atLeast"/>
              <w:jc w:val="center"/>
              <w:rPr>
                <w:color w:val="auto"/>
              </w:rPr>
            </w:pPr>
            <w:r w:rsidRPr="00482560">
              <w:rPr>
                <w:color w:val="auto"/>
                <w:spacing w:val="-3"/>
                <w:szCs w:val="24"/>
              </w:rPr>
              <w:t>298</w:t>
            </w:r>
          </w:p>
        </w:tc>
      </w:tr>
      <w:tr w:rsidR="00DA2F01" w:rsidRPr="00482560" w14:paraId="49A06A07" w14:textId="77777777" w:rsidTr="00AA508A">
        <w:tc>
          <w:tcPr>
            <w:tcW w:w="3056" w:type="dxa"/>
            <w:tcBorders>
              <w:bottom w:val="single" w:sz="4" w:space="0" w:color="auto"/>
            </w:tcBorders>
            <w:shd w:val="clear" w:color="auto" w:fill="auto"/>
          </w:tcPr>
          <w:p w14:paraId="6FD6CD71" w14:textId="77777777" w:rsidR="00DA2F01" w:rsidRPr="00482560" w:rsidRDefault="00DA2F01" w:rsidP="00AA508A">
            <w:pPr>
              <w:tabs>
                <w:tab w:val="left" w:pos="0"/>
                <w:tab w:val="left" w:pos="444"/>
                <w:tab w:val="left" w:pos="720"/>
              </w:tabs>
              <w:spacing w:after="120" w:line="240" w:lineRule="atLeast"/>
              <w:jc w:val="center"/>
              <w:rPr>
                <w:color w:val="auto"/>
                <w:spacing w:val="-3"/>
                <w:szCs w:val="24"/>
              </w:rPr>
            </w:pPr>
            <w:r w:rsidRPr="00482560">
              <w:rPr>
                <w:rFonts w:ascii="Symbol" w:hAnsi="Symbol"/>
                <w:color w:val="auto"/>
                <w:spacing w:val="-3"/>
                <w:szCs w:val="24"/>
              </w:rPr>
              <w:t></w:t>
            </w:r>
            <w:r w:rsidRPr="00482560">
              <w:rPr>
                <w:color w:val="auto"/>
                <w:spacing w:val="-3"/>
                <w:szCs w:val="24"/>
              </w:rPr>
              <w:t xml:space="preserve"> log</w:t>
            </w:r>
            <w:r w:rsidRPr="00482560">
              <w:rPr>
                <w:i/>
                <w:color w:val="auto"/>
                <w:spacing w:val="-3"/>
                <w:szCs w:val="24"/>
              </w:rPr>
              <w:t xml:space="preserve"> </w:t>
            </w:r>
            <w:r w:rsidRPr="001D3940">
              <w:rPr>
                <w:i/>
                <w:color w:val="auto"/>
                <w:spacing w:val="-3"/>
                <w:szCs w:val="24"/>
              </w:rPr>
              <w:t>k</w:t>
            </w:r>
            <w:r>
              <w:rPr>
                <w:color w:val="auto"/>
                <w:spacing w:val="-3"/>
                <w:szCs w:val="24"/>
                <w:vertAlign w:val="subscript"/>
              </w:rPr>
              <w:t>2</w:t>
            </w:r>
            <w:r w:rsidRPr="00B11AA9">
              <w:rPr>
                <w:color w:val="auto"/>
                <w:spacing w:val="-3"/>
                <w:szCs w:val="24"/>
                <w:vertAlign w:val="subscript"/>
              </w:rPr>
              <w:t>(</w:t>
            </w:r>
            <w:r>
              <w:rPr>
                <w:i/>
                <w:color w:val="auto"/>
                <w:spacing w:val="-3"/>
                <w:szCs w:val="24"/>
                <w:vertAlign w:val="subscript"/>
              </w:rPr>
              <w:t>E</w:t>
            </w:r>
            <w:r w:rsidRPr="00B11AA9">
              <w:rPr>
                <w:color w:val="auto"/>
                <w:spacing w:val="-3"/>
                <w:szCs w:val="24"/>
                <w:vertAlign w:val="subscript"/>
              </w:rPr>
              <w:t>-)</w:t>
            </w:r>
          </w:p>
        </w:tc>
        <w:tc>
          <w:tcPr>
            <w:tcW w:w="3455" w:type="dxa"/>
            <w:tcBorders>
              <w:bottom w:val="single" w:sz="4" w:space="0" w:color="auto"/>
            </w:tcBorders>
            <w:shd w:val="clear" w:color="auto" w:fill="auto"/>
          </w:tcPr>
          <w:p w14:paraId="1E9464A9" w14:textId="77777777" w:rsidR="00DA2F01" w:rsidRPr="00482560" w:rsidRDefault="00DA2F01" w:rsidP="00AA508A">
            <w:pPr>
              <w:tabs>
                <w:tab w:val="left" w:pos="0"/>
                <w:tab w:val="left" w:pos="444"/>
                <w:tab w:val="left" w:pos="720"/>
              </w:tabs>
              <w:spacing w:after="120" w:line="240" w:lineRule="atLeast"/>
              <w:rPr>
                <w:color w:val="auto"/>
                <w:spacing w:val="-3"/>
                <w:szCs w:val="24"/>
              </w:rPr>
            </w:pPr>
            <w:r w:rsidRPr="00482560">
              <w:rPr>
                <w:color w:val="auto"/>
                <w:spacing w:val="-3"/>
                <w:szCs w:val="24"/>
              </w:rPr>
              <w:t>± 0.</w:t>
            </w:r>
            <w:r w:rsidR="00102B09">
              <w:rPr>
                <w:color w:val="auto"/>
                <w:spacing w:val="-3"/>
                <w:szCs w:val="24"/>
              </w:rPr>
              <w:t>5</w:t>
            </w:r>
          </w:p>
        </w:tc>
        <w:tc>
          <w:tcPr>
            <w:tcW w:w="2011" w:type="dxa"/>
            <w:tcBorders>
              <w:bottom w:val="single" w:sz="4" w:space="0" w:color="auto"/>
            </w:tcBorders>
            <w:shd w:val="clear" w:color="auto" w:fill="auto"/>
          </w:tcPr>
          <w:p w14:paraId="3DE65D91" w14:textId="77777777" w:rsidR="00DA2F01" w:rsidRPr="00482560" w:rsidRDefault="00DA2F01" w:rsidP="00AA508A">
            <w:pPr>
              <w:tabs>
                <w:tab w:val="left" w:pos="0"/>
                <w:tab w:val="left" w:pos="444"/>
                <w:tab w:val="left" w:pos="720"/>
              </w:tabs>
              <w:spacing w:after="120" w:line="240" w:lineRule="atLeast"/>
              <w:jc w:val="center"/>
              <w:rPr>
                <w:color w:val="auto"/>
              </w:rPr>
            </w:pPr>
            <w:r w:rsidRPr="00482560">
              <w:rPr>
                <w:color w:val="auto"/>
                <w:spacing w:val="-3"/>
                <w:szCs w:val="24"/>
              </w:rPr>
              <w:t>298</w:t>
            </w:r>
          </w:p>
        </w:tc>
      </w:tr>
    </w:tbl>
    <w:p w14:paraId="2A106D07" w14:textId="77777777" w:rsidR="00ED24D0" w:rsidRPr="00482560" w:rsidRDefault="00ED24D0" w:rsidP="00ED24D0">
      <w:pPr>
        <w:numPr>
          <w:ilvl w:val="0"/>
          <w:numId w:val="2"/>
        </w:numPr>
        <w:tabs>
          <w:tab w:val="left" w:pos="-1440"/>
          <w:tab w:val="left" w:pos="-720"/>
          <w:tab w:val="left" w:pos="444"/>
        </w:tabs>
        <w:jc w:val="both"/>
        <w:rPr>
          <w:color w:val="auto"/>
        </w:rPr>
      </w:pPr>
      <w:r w:rsidRPr="00482560">
        <w:rPr>
          <w:i/>
          <w:color w:val="auto"/>
        </w:rPr>
        <w:lastRenderedPageBreak/>
        <w:t>Comments on Preferred Values</w:t>
      </w:r>
    </w:p>
    <w:p w14:paraId="53338141" w14:textId="77777777" w:rsidR="00AE7DE6" w:rsidRDefault="00482560" w:rsidP="002D26FD">
      <w:pPr>
        <w:tabs>
          <w:tab w:val="left" w:pos="-1440"/>
          <w:tab w:val="left" w:pos="-720"/>
          <w:tab w:val="left" w:pos="444"/>
        </w:tabs>
        <w:ind w:firstLine="444"/>
        <w:jc w:val="both"/>
      </w:pPr>
      <w:r w:rsidRPr="0034676A">
        <w:t xml:space="preserve">The results of the direct studies of conformer-specific kinetics show that the </w:t>
      </w:r>
      <w:r>
        <w:rPr>
          <w:i/>
        </w:rPr>
        <w:t>Z</w:t>
      </w:r>
      <w:r w:rsidRPr="0034676A">
        <w:t xml:space="preserve">-conformer is substantially less reactive than the </w:t>
      </w:r>
      <w:r>
        <w:rPr>
          <w:i/>
        </w:rPr>
        <w:t>E</w:t>
      </w:r>
      <w:r w:rsidRPr="0034676A">
        <w:t>-</w:t>
      </w:r>
      <w:r w:rsidR="00A3449D">
        <w:t xml:space="preserve"> </w:t>
      </w:r>
      <w:r w:rsidRPr="0034676A">
        <w:t xml:space="preserve">conformer. This is consistent with the theoretical calculations of </w:t>
      </w:r>
      <w:proofErr w:type="spellStart"/>
      <w:r w:rsidRPr="0034676A">
        <w:t>Anglada</w:t>
      </w:r>
      <w:proofErr w:type="spellEnd"/>
      <w:r w:rsidRPr="0034676A">
        <w:t xml:space="preserve"> et.al. (2011), which predicted a lower reaction barrier for the </w:t>
      </w:r>
      <w:r>
        <w:rPr>
          <w:i/>
        </w:rPr>
        <w:t>E</w:t>
      </w:r>
      <w:r w:rsidRPr="0034676A">
        <w:rPr>
          <w:i/>
        </w:rPr>
        <w:t xml:space="preserve">- </w:t>
      </w:r>
      <w:r w:rsidRPr="0034676A">
        <w:t xml:space="preserve">form. The relative rate constants for the </w:t>
      </w:r>
      <w:r>
        <w:rPr>
          <w:i/>
        </w:rPr>
        <w:t>E</w:t>
      </w:r>
      <w:r w:rsidRPr="0034676A">
        <w:rPr>
          <w:i/>
        </w:rPr>
        <w:t>-</w:t>
      </w:r>
      <w:r w:rsidR="00A3449D">
        <w:rPr>
          <w:i/>
        </w:rPr>
        <w:t xml:space="preserve"> </w:t>
      </w:r>
      <w:r w:rsidRPr="0034676A">
        <w:t>conformer reaction with H</w:t>
      </w:r>
      <w:r w:rsidRPr="0034676A">
        <w:rPr>
          <w:vertAlign w:val="subscript"/>
        </w:rPr>
        <w:t>2</w:t>
      </w:r>
      <w:r w:rsidRPr="0034676A">
        <w:t>O relative to SO</w:t>
      </w:r>
      <w:r w:rsidRPr="0034676A">
        <w:rPr>
          <w:vertAlign w:val="subscript"/>
        </w:rPr>
        <w:t>2</w:t>
      </w:r>
      <w:r w:rsidRPr="0034676A">
        <w:t xml:space="preserve"> were determined in two studies for CH</w:t>
      </w:r>
      <w:r w:rsidRPr="0034676A">
        <w:rPr>
          <w:vertAlign w:val="subscript"/>
        </w:rPr>
        <w:t>3</w:t>
      </w:r>
      <w:r w:rsidRPr="0034676A">
        <w:t xml:space="preserve">CHOO produced by </w:t>
      </w:r>
      <w:proofErr w:type="spellStart"/>
      <w:r w:rsidRPr="0034676A">
        <w:t>ozonolysis</w:t>
      </w:r>
      <w:proofErr w:type="spellEnd"/>
      <w:r w:rsidRPr="0034676A">
        <w:t xml:space="preserve"> of</w:t>
      </w:r>
      <w:r>
        <w:t xml:space="preserve"> </w:t>
      </w:r>
      <w:r w:rsidRPr="00482560">
        <w:rPr>
          <w:i/>
        </w:rPr>
        <w:t>cis</w:t>
      </w:r>
      <w:r>
        <w:t xml:space="preserve">- and/or </w:t>
      </w:r>
      <w:r w:rsidRPr="00482560">
        <w:rPr>
          <w:i/>
        </w:rPr>
        <w:t>trans</w:t>
      </w:r>
      <w:r>
        <w:t>-</w:t>
      </w:r>
      <w:r w:rsidRPr="0034676A">
        <w:t xml:space="preserve">2-butene at 1 bar pressure. The results are consistent with the direct studies at </w:t>
      </w:r>
      <w:r w:rsidR="00E51627">
        <w:t xml:space="preserve">both </w:t>
      </w:r>
      <w:r w:rsidRPr="0034676A">
        <w:t xml:space="preserve">low pressure (4 to </w:t>
      </w:r>
      <w:r w:rsidR="00E51627">
        <w:t>2</w:t>
      </w:r>
      <w:r w:rsidRPr="0034676A">
        <w:t>0 Torr)</w:t>
      </w:r>
      <w:r w:rsidR="00E51627">
        <w:t xml:space="preserve"> and high pressure (500 Torr)</w:t>
      </w:r>
      <w:r w:rsidRPr="0034676A">
        <w:t>, where CH</w:t>
      </w:r>
      <w:r w:rsidRPr="0034676A">
        <w:rPr>
          <w:vertAlign w:val="subscript"/>
        </w:rPr>
        <w:t>3</w:t>
      </w:r>
      <w:r w:rsidRPr="0034676A">
        <w:t>CHOO was produced from the reaction of CH</w:t>
      </w:r>
      <w:r w:rsidRPr="0034676A">
        <w:rPr>
          <w:vertAlign w:val="subscript"/>
        </w:rPr>
        <w:t>3</w:t>
      </w:r>
      <w:r w:rsidRPr="0034676A">
        <w:t>CHI with O</w:t>
      </w:r>
      <w:r w:rsidRPr="0034676A">
        <w:rPr>
          <w:vertAlign w:val="subscript"/>
        </w:rPr>
        <w:t>2</w:t>
      </w:r>
      <w:r w:rsidRPr="0034676A">
        <w:t xml:space="preserve">. </w:t>
      </w:r>
      <w:proofErr w:type="gramStart"/>
      <w:r w:rsidRPr="0034676A">
        <w:t>Overall</w:t>
      </w:r>
      <w:proofErr w:type="gramEnd"/>
      <w:r w:rsidRPr="0034676A">
        <w:t xml:space="preserve"> the results for </w:t>
      </w:r>
      <w:r w:rsidR="004A3503" w:rsidRPr="001D3940">
        <w:rPr>
          <w:i/>
          <w:color w:val="auto"/>
          <w:spacing w:val="-3"/>
          <w:szCs w:val="24"/>
        </w:rPr>
        <w:t>k</w:t>
      </w:r>
      <w:r w:rsidR="004A3503">
        <w:rPr>
          <w:color w:val="auto"/>
          <w:spacing w:val="-3"/>
          <w:szCs w:val="24"/>
          <w:vertAlign w:val="subscript"/>
        </w:rPr>
        <w:t>1</w:t>
      </w:r>
      <w:r w:rsidR="004A3503" w:rsidRPr="00B11AA9">
        <w:rPr>
          <w:color w:val="auto"/>
          <w:spacing w:val="-3"/>
          <w:szCs w:val="24"/>
          <w:vertAlign w:val="subscript"/>
        </w:rPr>
        <w:t>(</w:t>
      </w:r>
      <w:r w:rsidR="004A3503">
        <w:rPr>
          <w:i/>
          <w:color w:val="auto"/>
          <w:spacing w:val="-3"/>
          <w:szCs w:val="24"/>
          <w:vertAlign w:val="subscript"/>
        </w:rPr>
        <w:t>E</w:t>
      </w:r>
      <w:r w:rsidR="004A3503" w:rsidRPr="00B11AA9">
        <w:rPr>
          <w:color w:val="auto"/>
          <w:spacing w:val="-3"/>
          <w:szCs w:val="24"/>
          <w:vertAlign w:val="subscript"/>
        </w:rPr>
        <w:t>-)</w:t>
      </w:r>
      <w:r w:rsidRPr="0034676A">
        <w:t xml:space="preserve"> are consistent but the uncertainties of the relative rate studies are much larger due to possible systematic errors deriving from the analytical procedures.</w:t>
      </w:r>
    </w:p>
    <w:p w14:paraId="79F28109" w14:textId="77777777" w:rsidR="00AA508A" w:rsidRDefault="00482560" w:rsidP="002D26FD">
      <w:pPr>
        <w:tabs>
          <w:tab w:val="left" w:pos="-1440"/>
          <w:tab w:val="left" w:pos="-720"/>
          <w:tab w:val="left" w:pos="444"/>
        </w:tabs>
        <w:ind w:firstLine="444"/>
        <w:jc w:val="both"/>
      </w:pPr>
      <w:r w:rsidRPr="0034676A">
        <w:t xml:space="preserve">The preferred upper limit value for </w:t>
      </w:r>
      <w:r w:rsidR="004A3503" w:rsidRPr="001D3940">
        <w:rPr>
          <w:i/>
          <w:color w:val="auto"/>
          <w:spacing w:val="-3"/>
          <w:szCs w:val="24"/>
        </w:rPr>
        <w:t>k</w:t>
      </w:r>
      <w:r w:rsidR="004A3503">
        <w:rPr>
          <w:color w:val="auto"/>
          <w:spacing w:val="-3"/>
          <w:szCs w:val="24"/>
          <w:vertAlign w:val="subscript"/>
        </w:rPr>
        <w:t>1</w:t>
      </w:r>
      <w:r w:rsidR="004A3503" w:rsidRPr="00B11AA9">
        <w:rPr>
          <w:color w:val="auto"/>
          <w:spacing w:val="-3"/>
          <w:szCs w:val="24"/>
          <w:vertAlign w:val="subscript"/>
        </w:rPr>
        <w:t>(</w:t>
      </w:r>
      <w:r w:rsidR="004A3503">
        <w:rPr>
          <w:i/>
          <w:color w:val="auto"/>
          <w:spacing w:val="-3"/>
          <w:szCs w:val="24"/>
          <w:vertAlign w:val="subscript"/>
        </w:rPr>
        <w:t>Z</w:t>
      </w:r>
      <w:r w:rsidR="004A3503" w:rsidRPr="00B11AA9">
        <w:rPr>
          <w:color w:val="auto"/>
          <w:spacing w:val="-3"/>
          <w:szCs w:val="24"/>
          <w:vertAlign w:val="subscript"/>
        </w:rPr>
        <w:t>-)</w:t>
      </w:r>
      <w:r w:rsidRPr="0034676A">
        <w:t xml:space="preserve"> is that determined in the study of </w:t>
      </w:r>
      <w:proofErr w:type="spellStart"/>
      <w:r w:rsidRPr="0034676A">
        <w:t>Sheps</w:t>
      </w:r>
      <w:proofErr w:type="spellEnd"/>
      <w:r w:rsidRPr="0034676A">
        <w:t xml:space="preserve"> et</w:t>
      </w:r>
      <w:r w:rsidR="009776E2">
        <w:t xml:space="preserve"> </w:t>
      </w:r>
      <w:r w:rsidRPr="0034676A">
        <w:t>al. (2014), which was based on</w:t>
      </w:r>
      <w:r w:rsidR="004A3503">
        <w:t xml:space="preserve"> a</w:t>
      </w:r>
      <w:r w:rsidRPr="0034676A">
        <w:t xml:space="preserve"> well</w:t>
      </w:r>
      <w:r w:rsidR="004A3503">
        <w:t>-</w:t>
      </w:r>
      <w:r w:rsidRPr="0034676A">
        <w:t>defined absence of [H</w:t>
      </w:r>
      <w:r w:rsidRPr="0034676A">
        <w:rPr>
          <w:vertAlign w:val="subscript"/>
        </w:rPr>
        <w:t>2</w:t>
      </w:r>
      <w:r w:rsidRPr="0034676A">
        <w:t xml:space="preserve">O] dependence of </w:t>
      </w:r>
      <w:r w:rsidR="004A3503" w:rsidRPr="001D3940">
        <w:rPr>
          <w:i/>
          <w:color w:val="auto"/>
          <w:spacing w:val="-3"/>
          <w:szCs w:val="24"/>
        </w:rPr>
        <w:t>k</w:t>
      </w:r>
      <w:r w:rsidR="004A3503">
        <w:rPr>
          <w:color w:val="auto"/>
          <w:spacing w:val="-3"/>
          <w:szCs w:val="24"/>
          <w:vertAlign w:val="subscript"/>
        </w:rPr>
        <w:t>1</w:t>
      </w:r>
      <w:r w:rsidR="004A3503" w:rsidRPr="00B11AA9">
        <w:rPr>
          <w:color w:val="auto"/>
          <w:spacing w:val="-3"/>
          <w:szCs w:val="24"/>
          <w:vertAlign w:val="subscript"/>
        </w:rPr>
        <w:t>(</w:t>
      </w:r>
      <w:r w:rsidR="004A3503">
        <w:rPr>
          <w:i/>
          <w:color w:val="auto"/>
          <w:spacing w:val="-3"/>
          <w:szCs w:val="24"/>
          <w:vertAlign w:val="subscript"/>
        </w:rPr>
        <w:t>Z</w:t>
      </w:r>
      <w:r w:rsidR="004A3503" w:rsidRPr="00B11AA9">
        <w:rPr>
          <w:color w:val="auto"/>
          <w:spacing w:val="-3"/>
          <w:szCs w:val="24"/>
          <w:vertAlign w:val="subscript"/>
        </w:rPr>
        <w:t>-)</w:t>
      </w:r>
      <w:r w:rsidRPr="0034676A">
        <w:t>. The preferred value</w:t>
      </w:r>
      <w:r w:rsidR="00AA508A">
        <w:t>s</w:t>
      </w:r>
      <w:r w:rsidRPr="0034676A">
        <w:t xml:space="preserve"> for </w:t>
      </w:r>
      <w:r w:rsidR="004A3503" w:rsidRPr="001D3940">
        <w:rPr>
          <w:i/>
          <w:color w:val="auto"/>
          <w:spacing w:val="-3"/>
          <w:szCs w:val="24"/>
        </w:rPr>
        <w:t>k</w:t>
      </w:r>
      <w:r w:rsidR="004A3503">
        <w:rPr>
          <w:color w:val="auto"/>
          <w:spacing w:val="-3"/>
          <w:szCs w:val="24"/>
          <w:vertAlign w:val="subscript"/>
        </w:rPr>
        <w:t>1</w:t>
      </w:r>
      <w:r w:rsidR="004A3503" w:rsidRPr="00B11AA9">
        <w:rPr>
          <w:color w:val="auto"/>
          <w:spacing w:val="-3"/>
          <w:szCs w:val="24"/>
          <w:vertAlign w:val="subscript"/>
        </w:rPr>
        <w:t>(</w:t>
      </w:r>
      <w:r w:rsidR="004A3503">
        <w:rPr>
          <w:i/>
          <w:color w:val="auto"/>
          <w:spacing w:val="-3"/>
          <w:szCs w:val="24"/>
          <w:vertAlign w:val="subscript"/>
        </w:rPr>
        <w:t>E</w:t>
      </w:r>
      <w:r w:rsidR="004A3503" w:rsidRPr="00B11AA9">
        <w:rPr>
          <w:color w:val="auto"/>
          <w:spacing w:val="-3"/>
          <w:szCs w:val="24"/>
          <w:vertAlign w:val="subscript"/>
        </w:rPr>
        <w:t>-)</w:t>
      </w:r>
      <w:r w:rsidRPr="0034676A">
        <w:t xml:space="preserve"> </w:t>
      </w:r>
      <w:r w:rsidR="00AA508A">
        <w:t xml:space="preserve">and </w:t>
      </w:r>
      <w:r w:rsidR="00AA508A" w:rsidRPr="001D3940">
        <w:rPr>
          <w:i/>
          <w:color w:val="auto"/>
          <w:spacing w:val="-3"/>
          <w:szCs w:val="24"/>
        </w:rPr>
        <w:t>k</w:t>
      </w:r>
      <w:r w:rsidR="00AA508A">
        <w:rPr>
          <w:color w:val="auto"/>
          <w:spacing w:val="-3"/>
          <w:szCs w:val="24"/>
          <w:vertAlign w:val="subscript"/>
        </w:rPr>
        <w:t>2</w:t>
      </w:r>
      <w:r w:rsidR="00AA508A" w:rsidRPr="00B11AA9">
        <w:rPr>
          <w:color w:val="auto"/>
          <w:spacing w:val="-3"/>
          <w:szCs w:val="24"/>
          <w:vertAlign w:val="subscript"/>
        </w:rPr>
        <w:t>(</w:t>
      </w:r>
      <w:r w:rsidR="00AA508A">
        <w:rPr>
          <w:i/>
          <w:color w:val="auto"/>
          <w:spacing w:val="-3"/>
          <w:szCs w:val="24"/>
          <w:vertAlign w:val="subscript"/>
        </w:rPr>
        <w:t>E</w:t>
      </w:r>
      <w:r w:rsidR="00AA508A" w:rsidRPr="00B11AA9">
        <w:rPr>
          <w:color w:val="auto"/>
          <w:spacing w:val="-3"/>
          <w:szCs w:val="24"/>
          <w:vertAlign w:val="subscript"/>
        </w:rPr>
        <w:t>-)</w:t>
      </w:r>
      <w:r w:rsidR="00AA508A">
        <w:t xml:space="preserve"> </w:t>
      </w:r>
      <w:r w:rsidR="00AF4754">
        <w:t xml:space="preserve">at 298 K </w:t>
      </w:r>
      <w:r w:rsidR="00AA508A">
        <w:t>are adopted from the direct UVA study of Lin et al. (2016)</w:t>
      </w:r>
      <w:r w:rsidR="008E1D7F">
        <w:t xml:space="preserve">, with that for </w:t>
      </w:r>
      <w:r w:rsidR="008E1D7F" w:rsidRPr="001D3940">
        <w:rPr>
          <w:i/>
          <w:color w:val="auto"/>
          <w:spacing w:val="-3"/>
          <w:szCs w:val="24"/>
        </w:rPr>
        <w:t>k</w:t>
      </w:r>
      <w:r w:rsidR="008E1D7F">
        <w:rPr>
          <w:color w:val="auto"/>
          <w:spacing w:val="-3"/>
          <w:szCs w:val="24"/>
          <w:vertAlign w:val="subscript"/>
        </w:rPr>
        <w:t>2</w:t>
      </w:r>
      <w:r w:rsidR="008E1D7F" w:rsidRPr="00B11AA9">
        <w:rPr>
          <w:color w:val="auto"/>
          <w:spacing w:val="-3"/>
          <w:szCs w:val="24"/>
          <w:vertAlign w:val="subscript"/>
        </w:rPr>
        <w:t>(</w:t>
      </w:r>
      <w:r w:rsidR="008E1D7F">
        <w:rPr>
          <w:i/>
          <w:color w:val="auto"/>
          <w:spacing w:val="-3"/>
          <w:szCs w:val="24"/>
          <w:vertAlign w:val="subscript"/>
        </w:rPr>
        <w:t>E</w:t>
      </w:r>
      <w:r w:rsidR="008E1D7F" w:rsidRPr="00B11AA9">
        <w:rPr>
          <w:color w:val="auto"/>
          <w:spacing w:val="-3"/>
          <w:szCs w:val="24"/>
          <w:vertAlign w:val="subscript"/>
        </w:rPr>
        <w:t>-)</w:t>
      </w:r>
      <w:r w:rsidR="008E1D7F">
        <w:rPr>
          <w:color w:val="auto"/>
          <w:spacing w:val="-3"/>
          <w:szCs w:val="24"/>
        </w:rPr>
        <w:t xml:space="preserve"> being the only reported laboratory determination</w:t>
      </w:r>
      <w:r w:rsidR="00AA508A">
        <w:t xml:space="preserve">. However, the </w:t>
      </w:r>
      <w:r w:rsidR="008E1D7F">
        <w:t xml:space="preserve">preferred </w:t>
      </w:r>
      <w:r w:rsidR="00AA508A">
        <w:t xml:space="preserve">value for </w:t>
      </w:r>
      <w:r w:rsidR="00AA508A" w:rsidRPr="001D3940">
        <w:rPr>
          <w:i/>
          <w:color w:val="auto"/>
          <w:spacing w:val="-3"/>
          <w:szCs w:val="24"/>
        </w:rPr>
        <w:t>k</w:t>
      </w:r>
      <w:r w:rsidR="00AA508A">
        <w:rPr>
          <w:color w:val="auto"/>
          <w:spacing w:val="-3"/>
          <w:szCs w:val="24"/>
          <w:vertAlign w:val="subscript"/>
        </w:rPr>
        <w:t>1</w:t>
      </w:r>
      <w:r w:rsidR="00AA508A" w:rsidRPr="00B11AA9">
        <w:rPr>
          <w:color w:val="auto"/>
          <w:spacing w:val="-3"/>
          <w:szCs w:val="24"/>
          <w:vertAlign w:val="subscript"/>
        </w:rPr>
        <w:t>(</w:t>
      </w:r>
      <w:r w:rsidR="00AA508A">
        <w:rPr>
          <w:i/>
          <w:color w:val="auto"/>
          <w:spacing w:val="-3"/>
          <w:szCs w:val="24"/>
          <w:vertAlign w:val="subscript"/>
        </w:rPr>
        <w:t>E</w:t>
      </w:r>
      <w:r w:rsidR="00AA508A" w:rsidRPr="00B11AA9">
        <w:rPr>
          <w:color w:val="auto"/>
          <w:spacing w:val="-3"/>
          <w:szCs w:val="24"/>
          <w:vertAlign w:val="subscript"/>
        </w:rPr>
        <w:t>-)</w:t>
      </w:r>
      <w:r w:rsidR="00AA508A">
        <w:t xml:space="preserve"> </w:t>
      </w:r>
      <w:r w:rsidRPr="0034676A">
        <w:t>is</w:t>
      </w:r>
      <w:r w:rsidR="00AA508A">
        <w:t xml:space="preserve"> also </w:t>
      </w:r>
      <w:r w:rsidR="008E1D7F">
        <w:t>consistent</w:t>
      </w:r>
      <w:r w:rsidR="00AA508A">
        <w:t xml:space="preserve"> with those reported in </w:t>
      </w:r>
      <w:r w:rsidRPr="0034676A">
        <w:t xml:space="preserve">the direct PIMS and UVA studies of </w:t>
      </w:r>
      <w:proofErr w:type="spellStart"/>
      <w:r w:rsidRPr="0034676A">
        <w:t>Taatjes</w:t>
      </w:r>
      <w:proofErr w:type="spellEnd"/>
      <w:r w:rsidRPr="0034676A">
        <w:t xml:space="preserve"> et al.</w:t>
      </w:r>
      <w:r w:rsidR="00AA508A">
        <w:t xml:space="preserve"> </w:t>
      </w:r>
      <w:r w:rsidRPr="0034676A">
        <w:t xml:space="preserve">(2013) and </w:t>
      </w:r>
      <w:proofErr w:type="spellStart"/>
      <w:r w:rsidRPr="0034676A">
        <w:t>Sheps</w:t>
      </w:r>
      <w:proofErr w:type="spellEnd"/>
      <w:r w:rsidRPr="0034676A">
        <w:t xml:space="preserve"> et al.</w:t>
      </w:r>
      <w:r w:rsidRPr="0034676A" w:rsidDel="00192511">
        <w:t xml:space="preserve"> </w:t>
      </w:r>
      <w:r w:rsidRPr="0034676A">
        <w:t>(2014)</w:t>
      </w:r>
      <w:r w:rsidR="001D790A">
        <w:t xml:space="preserve"> (</w:t>
      </w:r>
      <w:r w:rsidR="008E1D7F">
        <w:t>which are encompassed by the assigned uncertainty range</w:t>
      </w:r>
      <w:r w:rsidR="001D790A">
        <w:t>),</w:t>
      </w:r>
      <w:r w:rsidR="008E1D7F">
        <w:t xml:space="preserve"> </w:t>
      </w:r>
      <w:r w:rsidR="00AA508A">
        <w:t xml:space="preserve">and </w:t>
      </w:r>
      <w:r w:rsidR="008E1D7F">
        <w:t>comparable</w:t>
      </w:r>
      <w:r w:rsidR="00AA508A">
        <w:t xml:space="preserve"> to the mean of the three </w:t>
      </w:r>
      <w:r w:rsidR="00AF4754">
        <w:t xml:space="preserve">direct </w:t>
      </w:r>
      <w:r w:rsidR="00AA508A">
        <w:t xml:space="preserve">determinations. Lin et al. (2016) also reported a </w:t>
      </w:r>
      <w:r w:rsidR="00AF4754">
        <w:t xml:space="preserve">very </w:t>
      </w:r>
      <w:r w:rsidR="00AA508A">
        <w:t xml:space="preserve">strong negative temperature dependence for </w:t>
      </w:r>
      <w:r w:rsidR="00AA508A" w:rsidRPr="001D3940">
        <w:rPr>
          <w:i/>
          <w:color w:val="auto"/>
          <w:spacing w:val="-3"/>
          <w:szCs w:val="24"/>
        </w:rPr>
        <w:t>k</w:t>
      </w:r>
      <w:r w:rsidR="00AA508A">
        <w:rPr>
          <w:color w:val="auto"/>
          <w:spacing w:val="-3"/>
          <w:szCs w:val="24"/>
          <w:vertAlign w:val="subscript"/>
        </w:rPr>
        <w:t>2</w:t>
      </w:r>
      <w:r w:rsidR="00AA508A" w:rsidRPr="00B11AA9">
        <w:rPr>
          <w:color w:val="auto"/>
          <w:spacing w:val="-3"/>
          <w:szCs w:val="24"/>
          <w:vertAlign w:val="subscript"/>
        </w:rPr>
        <w:t>(</w:t>
      </w:r>
      <w:r w:rsidR="00AA508A">
        <w:rPr>
          <w:i/>
          <w:color w:val="auto"/>
          <w:spacing w:val="-3"/>
          <w:szCs w:val="24"/>
          <w:vertAlign w:val="subscript"/>
        </w:rPr>
        <w:t>E</w:t>
      </w:r>
      <w:r w:rsidR="00AA508A" w:rsidRPr="00B11AA9">
        <w:rPr>
          <w:color w:val="auto"/>
          <w:spacing w:val="-3"/>
          <w:szCs w:val="24"/>
          <w:vertAlign w:val="subscript"/>
        </w:rPr>
        <w:t>-)</w:t>
      </w:r>
      <w:r w:rsidR="008A0EEA">
        <w:rPr>
          <w:color w:val="auto"/>
          <w:spacing w:val="-3"/>
          <w:szCs w:val="24"/>
        </w:rPr>
        <w:t>, based on measurements over a 40 K temperature range.</w:t>
      </w:r>
      <w:r w:rsidR="00AA508A">
        <w:rPr>
          <w:color w:val="auto"/>
          <w:spacing w:val="-3"/>
          <w:szCs w:val="24"/>
        </w:rPr>
        <w:t xml:space="preserve"> Although this is in qualitative agreement with theoretical </w:t>
      </w:r>
      <w:r w:rsidR="00AF4754">
        <w:rPr>
          <w:color w:val="auto"/>
          <w:spacing w:val="-3"/>
          <w:szCs w:val="24"/>
        </w:rPr>
        <w:t xml:space="preserve">calculations (e.g. Vereecken et al., 2017), the value of the temperature coefficient is </w:t>
      </w:r>
      <w:r w:rsidR="00EB55E5">
        <w:rPr>
          <w:color w:val="auto"/>
          <w:spacing w:val="-3"/>
          <w:szCs w:val="24"/>
        </w:rPr>
        <w:t>substantially</w:t>
      </w:r>
      <w:r w:rsidR="00AF4754">
        <w:rPr>
          <w:color w:val="auto"/>
          <w:spacing w:val="-3"/>
          <w:szCs w:val="24"/>
        </w:rPr>
        <w:t xml:space="preserve"> higher than predicted. At present, we make no recommendation for </w:t>
      </w:r>
      <w:r w:rsidR="00E51627">
        <w:rPr>
          <w:color w:val="auto"/>
          <w:spacing w:val="-3"/>
          <w:szCs w:val="24"/>
        </w:rPr>
        <w:t>the temperature dependence,</w:t>
      </w:r>
      <w:r w:rsidR="00AF4754">
        <w:rPr>
          <w:color w:val="auto"/>
          <w:spacing w:val="-3"/>
          <w:szCs w:val="24"/>
        </w:rPr>
        <w:t xml:space="preserve"> and await the results of confirmatory studies.</w:t>
      </w:r>
    </w:p>
    <w:p w14:paraId="674D4215" w14:textId="77777777" w:rsidR="00AA508A" w:rsidRPr="00482560" w:rsidRDefault="00AA508A" w:rsidP="002D26FD">
      <w:pPr>
        <w:tabs>
          <w:tab w:val="left" w:pos="-1440"/>
          <w:tab w:val="left" w:pos="-720"/>
          <w:tab w:val="left" w:pos="444"/>
        </w:tabs>
        <w:ind w:firstLine="444"/>
        <w:jc w:val="both"/>
      </w:pPr>
    </w:p>
    <w:p w14:paraId="19ED1DBC" w14:textId="77777777" w:rsidR="00945495" w:rsidRPr="003015F5" w:rsidRDefault="00945495" w:rsidP="00945495">
      <w:pPr>
        <w:tabs>
          <w:tab w:val="left" w:pos="-1440"/>
          <w:tab w:val="left" w:pos="-720"/>
          <w:tab w:val="left" w:pos="444"/>
        </w:tabs>
        <w:ind w:firstLine="444"/>
        <w:jc w:val="both"/>
        <w:rPr>
          <w:highlight w:val="yellow"/>
        </w:rPr>
      </w:pPr>
      <w:r w:rsidRPr="003015F5">
        <w:rPr>
          <w:highlight w:val="yellow"/>
        </w:rPr>
        <w:t xml:space="preserve"> </w:t>
      </w:r>
    </w:p>
    <w:p w14:paraId="389A83AC" w14:textId="77777777" w:rsidR="00945495" w:rsidRPr="004A3503" w:rsidRDefault="00945495" w:rsidP="00945495">
      <w:pPr>
        <w:jc w:val="center"/>
      </w:pPr>
      <w:r w:rsidRPr="004A3503">
        <w:rPr>
          <w:b/>
          <w:bCs/>
        </w:rPr>
        <w:t>References</w:t>
      </w:r>
    </w:p>
    <w:p w14:paraId="1ABA372D" w14:textId="77777777" w:rsidR="007A2AFA" w:rsidRPr="004A3503" w:rsidRDefault="007A2AFA" w:rsidP="007A2AFA">
      <w:pPr>
        <w:jc w:val="both"/>
        <w:rPr>
          <w:lang w:val="de-DE"/>
        </w:rPr>
      </w:pPr>
    </w:p>
    <w:p w14:paraId="74E37D14" w14:textId="77777777" w:rsidR="004A3503" w:rsidRPr="0034676A" w:rsidRDefault="004A3503" w:rsidP="008A295A">
      <w:pPr>
        <w:ind w:left="289" w:hanging="289"/>
        <w:jc w:val="both"/>
      </w:pPr>
      <w:proofErr w:type="spellStart"/>
      <w:r w:rsidRPr="0034676A">
        <w:t>Anglada</w:t>
      </w:r>
      <w:proofErr w:type="spellEnd"/>
      <w:r w:rsidRPr="0034676A">
        <w:t>, J.M., Gonzalez, J.</w:t>
      </w:r>
      <w:r>
        <w:t>,</w:t>
      </w:r>
      <w:r w:rsidRPr="0034676A">
        <w:t xml:space="preserve"> and Torrent-</w:t>
      </w:r>
      <w:proofErr w:type="spellStart"/>
      <w:r w:rsidRPr="0034676A">
        <w:t>Sucarrat</w:t>
      </w:r>
      <w:proofErr w:type="spellEnd"/>
      <w:r w:rsidRPr="0034676A">
        <w:t>, M.: Phys.</w:t>
      </w:r>
      <w:r>
        <w:t xml:space="preserve"> </w:t>
      </w:r>
      <w:r w:rsidRPr="0034676A">
        <w:t>Chem.</w:t>
      </w:r>
      <w:r>
        <w:t xml:space="preserve"> </w:t>
      </w:r>
      <w:r w:rsidRPr="0034676A">
        <w:t>Chem.</w:t>
      </w:r>
      <w:r>
        <w:t xml:space="preserve"> </w:t>
      </w:r>
      <w:r w:rsidRPr="0034676A">
        <w:t>Phys., 13, 13034, 2011.</w:t>
      </w:r>
    </w:p>
    <w:p w14:paraId="56427042" w14:textId="77777777" w:rsidR="004A3503" w:rsidRDefault="004A3503" w:rsidP="008A295A">
      <w:pPr>
        <w:ind w:left="289" w:hanging="289"/>
        <w:jc w:val="both"/>
      </w:pPr>
      <w:r w:rsidRPr="004A3503">
        <w:t xml:space="preserve">Berndt, T., </w:t>
      </w:r>
      <w:r>
        <w:t xml:space="preserve">Jokinen, T., </w:t>
      </w:r>
      <w:proofErr w:type="spellStart"/>
      <w:r>
        <w:t>Sipilä</w:t>
      </w:r>
      <w:proofErr w:type="spellEnd"/>
      <w:r>
        <w:t xml:space="preserve">. M., </w:t>
      </w:r>
      <w:r w:rsidRPr="004A3503">
        <w:t>Mauldin III, R.L.,</w:t>
      </w:r>
      <w:r>
        <w:t xml:space="preserve"> </w:t>
      </w:r>
      <w:r w:rsidRPr="004A3503">
        <w:t>Herrmann, H.</w:t>
      </w:r>
      <w:r>
        <w:t xml:space="preserve">, </w:t>
      </w:r>
      <w:proofErr w:type="spellStart"/>
      <w:r w:rsidRPr="004A3503">
        <w:t>Stratmann</w:t>
      </w:r>
      <w:proofErr w:type="spellEnd"/>
      <w:r w:rsidRPr="004A3503">
        <w:t xml:space="preserve">, F., </w:t>
      </w:r>
      <w:proofErr w:type="spellStart"/>
      <w:r w:rsidRPr="004A3503">
        <w:t>Junninen</w:t>
      </w:r>
      <w:proofErr w:type="spellEnd"/>
      <w:r w:rsidRPr="004A3503">
        <w:t>, H.,</w:t>
      </w:r>
      <w:r>
        <w:t xml:space="preserve"> and </w:t>
      </w:r>
      <w:proofErr w:type="spellStart"/>
      <w:proofErr w:type="gramStart"/>
      <w:r w:rsidRPr="004A3503">
        <w:t>Kulmala</w:t>
      </w:r>
      <w:proofErr w:type="spellEnd"/>
      <w:r w:rsidRPr="004A3503">
        <w:t>,.</w:t>
      </w:r>
      <w:proofErr w:type="gramEnd"/>
      <w:r w:rsidRPr="004A3503">
        <w:t xml:space="preserve"> M.: </w:t>
      </w:r>
      <w:r>
        <w:t xml:space="preserve">Atmos. Environ., </w:t>
      </w:r>
      <w:r w:rsidRPr="004A3503">
        <w:t>89</w:t>
      </w:r>
      <w:r>
        <w:t xml:space="preserve">, </w:t>
      </w:r>
      <w:r w:rsidRPr="004A3503">
        <w:t>603</w:t>
      </w:r>
      <w:r>
        <w:t>, 2014.</w:t>
      </w:r>
    </w:p>
    <w:p w14:paraId="580E1237" w14:textId="77777777" w:rsidR="00C64475" w:rsidRDefault="00C64475" w:rsidP="00C64475">
      <w:pPr>
        <w:ind w:left="289" w:hanging="289"/>
        <w:jc w:val="both"/>
      </w:pPr>
      <w:r w:rsidRPr="00E51627">
        <w:t>Lin</w:t>
      </w:r>
      <w:r>
        <w:t>, L.-C., Chao, W., Chang, C.-H., Takahashi, K. and Lin, J.J.-M:</w:t>
      </w:r>
      <w:r w:rsidRPr="00E51627">
        <w:t xml:space="preserve"> Phys. Chem. Chem. Phys., 18, 28189</w:t>
      </w:r>
      <w:r>
        <w:t>, 2016</w:t>
      </w:r>
      <w:r w:rsidRPr="00E51627">
        <w:t>.</w:t>
      </w:r>
    </w:p>
    <w:p w14:paraId="2EDD9CCD" w14:textId="77777777" w:rsidR="00C64475" w:rsidRPr="0034676A" w:rsidRDefault="00C64475" w:rsidP="00C64475">
      <w:pPr>
        <w:ind w:left="289" w:hanging="289"/>
        <w:jc w:val="both"/>
      </w:pPr>
      <w:r w:rsidRPr="0034676A">
        <w:t xml:space="preserve">Newland, M.J., Rickard, A.R., </w:t>
      </w:r>
      <w:proofErr w:type="spellStart"/>
      <w:r w:rsidRPr="0034676A">
        <w:t>Alam</w:t>
      </w:r>
      <w:proofErr w:type="spellEnd"/>
      <w:r w:rsidRPr="0034676A">
        <w:t xml:space="preserve">, M.S., Vereecken, L., Munoz, A., </w:t>
      </w:r>
      <w:proofErr w:type="spellStart"/>
      <w:r w:rsidRPr="0034676A">
        <w:t>Rodenas</w:t>
      </w:r>
      <w:proofErr w:type="spellEnd"/>
      <w:r w:rsidRPr="0034676A">
        <w:t xml:space="preserve">, M., and </w:t>
      </w:r>
      <w:proofErr w:type="spellStart"/>
      <w:r w:rsidRPr="0034676A">
        <w:t>Bloss</w:t>
      </w:r>
      <w:proofErr w:type="spellEnd"/>
      <w:r w:rsidRPr="0034676A">
        <w:t>, W.J., Phys. Chem. Chem. Phys., 17, 4076, 2015.</w:t>
      </w:r>
    </w:p>
    <w:p w14:paraId="06D52FA1" w14:textId="77777777" w:rsidR="00C64475" w:rsidRPr="0034676A" w:rsidRDefault="00C64475" w:rsidP="00C64475">
      <w:pPr>
        <w:ind w:left="289" w:hanging="289"/>
        <w:jc w:val="both"/>
      </w:pPr>
      <w:proofErr w:type="spellStart"/>
      <w:r w:rsidRPr="0034676A">
        <w:t>Sheps</w:t>
      </w:r>
      <w:proofErr w:type="spellEnd"/>
      <w:r w:rsidRPr="0034676A">
        <w:t>, L., Scully, A.</w:t>
      </w:r>
      <w:r>
        <w:t xml:space="preserve"> </w:t>
      </w:r>
      <w:r w:rsidRPr="0034676A">
        <w:t xml:space="preserve">M. and Au, K.: </w:t>
      </w:r>
      <w:r w:rsidRPr="0034676A">
        <w:rPr>
          <w:bCs/>
          <w:iCs/>
        </w:rPr>
        <w:t>Phys. Chem. Chem. Phys.,</w:t>
      </w:r>
      <w:r w:rsidRPr="0034676A">
        <w:t xml:space="preserve"> 16, 26701, 2014.</w:t>
      </w:r>
    </w:p>
    <w:p w14:paraId="3B90EE15" w14:textId="77777777" w:rsidR="00C64475" w:rsidRDefault="00C64475" w:rsidP="00C64475">
      <w:pPr>
        <w:ind w:left="289" w:hanging="289"/>
        <w:jc w:val="both"/>
      </w:pPr>
      <w:proofErr w:type="spellStart"/>
      <w:r w:rsidRPr="0034676A">
        <w:t>Taatjes</w:t>
      </w:r>
      <w:proofErr w:type="spellEnd"/>
      <w:r w:rsidRPr="0034676A">
        <w:t xml:space="preserve">, C. A., </w:t>
      </w:r>
      <w:proofErr w:type="spellStart"/>
      <w:r w:rsidRPr="0034676A">
        <w:t>Welz</w:t>
      </w:r>
      <w:proofErr w:type="spellEnd"/>
      <w:r w:rsidRPr="0034676A">
        <w:t xml:space="preserve">, </w:t>
      </w:r>
      <w:r>
        <w:t>O</w:t>
      </w:r>
      <w:r w:rsidRPr="0034676A">
        <w:t xml:space="preserve">.; </w:t>
      </w:r>
      <w:proofErr w:type="spellStart"/>
      <w:r w:rsidRPr="0034676A">
        <w:t>Eskola</w:t>
      </w:r>
      <w:proofErr w:type="spellEnd"/>
      <w:r w:rsidRPr="0034676A">
        <w:t xml:space="preserve">, A. J., </w:t>
      </w:r>
      <w:proofErr w:type="spellStart"/>
      <w:r w:rsidRPr="0034676A">
        <w:t>Savee</w:t>
      </w:r>
      <w:proofErr w:type="spellEnd"/>
      <w:r w:rsidRPr="0034676A">
        <w:t xml:space="preserve">, J. D., Scheer, A. M., Shallcross, D. E., </w:t>
      </w:r>
      <w:proofErr w:type="spellStart"/>
      <w:r w:rsidRPr="0034676A">
        <w:t>Rotavera</w:t>
      </w:r>
      <w:proofErr w:type="spellEnd"/>
      <w:r w:rsidRPr="0034676A">
        <w:t xml:space="preserve">, B., Lee, E. P. F., Dyke, J. M., </w:t>
      </w:r>
      <w:proofErr w:type="spellStart"/>
      <w:r w:rsidRPr="0034676A">
        <w:t>Mok</w:t>
      </w:r>
      <w:proofErr w:type="spellEnd"/>
      <w:r w:rsidRPr="0034676A">
        <w:t>, D. K. W., Osborn, D. L., and Percival, C. J.: Science, 340, 171</w:t>
      </w:r>
      <w:r>
        <w:t>,</w:t>
      </w:r>
      <w:r w:rsidRPr="0034676A">
        <w:t xml:space="preserve"> 2013.</w:t>
      </w:r>
    </w:p>
    <w:p w14:paraId="674AD1BC" w14:textId="77777777" w:rsidR="00EB55E5" w:rsidRDefault="00EB55E5" w:rsidP="008A295A">
      <w:pPr>
        <w:spacing w:after="240"/>
        <w:ind w:left="289" w:hanging="289"/>
        <w:jc w:val="both"/>
      </w:pPr>
      <w:r w:rsidRPr="00366206">
        <w:rPr>
          <w:spacing w:val="-3"/>
        </w:rPr>
        <w:t>Vereecken,</w:t>
      </w:r>
      <w:r>
        <w:rPr>
          <w:spacing w:val="-3"/>
        </w:rPr>
        <w:t xml:space="preserve"> L., </w:t>
      </w:r>
      <w:proofErr w:type="spellStart"/>
      <w:r w:rsidRPr="00366206">
        <w:rPr>
          <w:spacing w:val="-3"/>
        </w:rPr>
        <w:t>Novelli</w:t>
      </w:r>
      <w:proofErr w:type="spellEnd"/>
      <w:r>
        <w:rPr>
          <w:spacing w:val="-3"/>
        </w:rPr>
        <w:t xml:space="preserve">, A. </w:t>
      </w:r>
      <w:r w:rsidRPr="00366206">
        <w:rPr>
          <w:spacing w:val="-3"/>
        </w:rPr>
        <w:t xml:space="preserve">and </w:t>
      </w:r>
      <w:proofErr w:type="spellStart"/>
      <w:r w:rsidRPr="00366206">
        <w:rPr>
          <w:spacing w:val="-3"/>
        </w:rPr>
        <w:t>Taraborrelli</w:t>
      </w:r>
      <w:proofErr w:type="spellEnd"/>
      <w:r>
        <w:rPr>
          <w:spacing w:val="-3"/>
        </w:rPr>
        <w:t xml:space="preserve">, D.: </w:t>
      </w:r>
      <w:r w:rsidRPr="00366206">
        <w:rPr>
          <w:spacing w:val="-3"/>
        </w:rPr>
        <w:t>Phys. Chem. Chem. Phys., 19, 31599</w:t>
      </w:r>
      <w:r>
        <w:rPr>
          <w:spacing w:val="-3"/>
        </w:rPr>
        <w:t xml:space="preserve">, </w:t>
      </w:r>
      <w:proofErr w:type="spellStart"/>
      <w:r>
        <w:rPr>
          <w:spacing w:val="-3"/>
        </w:rPr>
        <w:t>doi</w:t>
      </w:r>
      <w:proofErr w:type="spellEnd"/>
      <w:r w:rsidRPr="00366206">
        <w:rPr>
          <w:spacing w:val="-3"/>
        </w:rPr>
        <w:t>: 10.1039/c7cp05541b</w:t>
      </w:r>
      <w:r>
        <w:rPr>
          <w:spacing w:val="-3"/>
        </w:rPr>
        <w:t>, 2017.</w:t>
      </w:r>
    </w:p>
    <w:p w14:paraId="3C5D0EEF" w14:textId="77777777" w:rsidR="00676F76" w:rsidRDefault="00676F76" w:rsidP="0003110A">
      <w:pPr>
        <w:jc w:val="both"/>
        <w:rPr>
          <w:lang w:val="de-DE"/>
        </w:rPr>
      </w:pPr>
    </w:p>
    <w:sectPr w:rsidR="00676F76">
      <w:footerReference w:type="default" r:id="rId9"/>
      <w:footerReference w:type="first" r:id="rId10"/>
      <w:pgSz w:w="11906" w:h="16838"/>
      <w:pgMar w:top="1440" w:right="842" w:bottom="1440" w:left="10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13EBE" w14:textId="77777777" w:rsidR="007919CD" w:rsidRDefault="007919CD">
      <w:r>
        <w:separator/>
      </w:r>
    </w:p>
  </w:endnote>
  <w:endnote w:type="continuationSeparator" w:id="0">
    <w:p w14:paraId="15B682DC" w14:textId="77777777" w:rsidR="007919CD" w:rsidRDefault="0079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MS Gothic"/>
    <w:charset w:val="80"/>
    <w:family w:val="auto"/>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C05C" w14:textId="77777777" w:rsidR="00667891" w:rsidRDefault="00667891">
    <w:pPr>
      <w:pStyle w:val="Footer"/>
    </w:pPr>
    <w:r>
      <w:pict w14:anchorId="01182091">
        <v:shapetype id="_x0000_t202" coordsize="21600,21600" o:spt="202" path="m,l,21600r21600,l21600,xe">
          <v:stroke joinstyle="miter"/>
          <v:path gradientshapeok="t" o:connecttype="rect"/>
        </v:shapetype>
        <v:shape id="_x0000_s2049" type="#_x0000_t202" style="position:absolute;margin-left:0;margin-top:.05pt;width:5.8pt;height:13.55pt;z-index:1;mso-wrap-distance-left:0;mso-wrap-distance-right:0;mso-position-horizontal:center;mso-position-horizontal-relative:margin" stroked="f">
          <v:fill opacity="0" color2="black"/>
          <v:textbox inset="0,0,0,0">
            <w:txbxContent>
              <w:p w14:paraId="15A60F47" w14:textId="77777777" w:rsidR="00667891" w:rsidRDefault="00667891">
                <w:pPr>
                  <w:pStyle w:val="Footer"/>
                </w:pPr>
                <w:r>
                  <w:rPr>
                    <w:rStyle w:val="PageNumber"/>
                  </w:rPr>
                  <w:fldChar w:fldCharType="begin"/>
                </w:r>
                <w:r>
                  <w:rPr>
                    <w:rStyle w:val="PageNumber"/>
                  </w:rPr>
                  <w:instrText xml:space="preserve"> PAGE </w:instrText>
                </w:r>
                <w:r>
                  <w:rPr>
                    <w:rStyle w:val="PageNumber"/>
                  </w:rPr>
                  <w:fldChar w:fldCharType="separate"/>
                </w:r>
                <w:r w:rsidR="00A3449D">
                  <w:rPr>
                    <w:rStyle w:val="PageNumber"/>
                    <w:noProof/>
                  </w:rPr>
                  <w:t>3</w:t>
                </w:r>
                <w:r>
                  <w:rPr>
                    <w:rStyle w:val="PageNumber"/>
                  </w:rPr>
                  <w:fldChar w:fldCharType="end"/>
                </w: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6414" w14:textId="77777777" w:rsidR="00667891" w:rsidRDefault="00667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2C6F6" w14:textId="77777777" w:rsidR="007919CD" w:rsidRDefault="007919CD">
      <w:r>
        <w:separator/>
      </w:r>
    </w:p>
  </w:footnote>
  <w:footnote w:type="continuationSeparator" w:id="0">
    <w:p w14:paraId="44F87073" w14:textId="77777777" w:rsidR="007919CD" w:rsidRDefault="00791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307"/>
    <w:rsid w:val="00004857"/>
    <w:rsid w:val="00026185"/>
    <w:rsid w:val="0003110A"/>
    <w:rsid w:val="00051639"/>
    <w:rsid w:val="000554DE"/>
    <w:rsid w:val="00060F84"/>
    <w:rsid w:val="00072240"/>
    <w:rsid w:val="00073E26"/>
    <w:rsid w:val="00082371"/>
    <w:rsid w:val="0008365F"/>
    <w:rsid w:val="00083A9E"/>
    <w:rsid w:val="00087559"/>
    <w:rsid w:val="000917D3"/>
    <w:rsid w:val="000A5DB0"/>
    <w:rsid w:val="000B1E91"/>
    <w:rsid w:val="000B1EDF"/>
    <w:rsid w:val="000C6109"/>
    <w:rsid w:val="000C7423"/>
    <w:rsid w:val="000D5266"/>
    <w:rsid w:val="000F1857"/>
    <w:rsid w:val="00102B09"/>
    <w:rsid w:val="00103BFE"/>
    <w:rsid w:val="00103D21"/>
    <w:rsid w:val="00110DA2"/>
    <w:rsid w:val="00127FA2"/>
    <w:rsid w:val="00133D64"/>
    <w:rsid w:val="00161A42"/>
    <w:rsid w:val="00187FB3"/>
    <w:rsid w:val="00196AE4"/>
    <w:rsid w:val="001B27E8"/>
    <w:rsid w:val="001C4DB8"/>
    <w:rsid w:val="001D790A"/>
    <w:rsid w:val="00205BA2"/>
    <w:rsid w:val="002071F1"/>
    <w:rsid w:val="00213494"/>
    <w:rsid w:val="00224C80"/>
    <w:rsid w:val="00230EA1"/>
    <w:rsid w:val="00257C1E"/>
    <w:rsid w:val="00263004"/>
    <w:rsid w:val="0027752A"/>
    <w:rsid w:val="00296D05"/>
    <w:rsid w:val="002A326E"/>
    <w:rsid w:val="002B035E"/>
    <w:rsid w:val="002B7083"/>
    <w:rsid w:val="002B76A5"/>
    <w:rsid w:val="002C30AE"/>
    <w:rsid w:val="002D26FD"/>
    <w:rsid w:val="002E2BC5"/>
    <w:rsid w:val="003015F5"/>
    <w:rsid w:val="00316200"/>
    <w:rsid w:val="0034503B"/>
    <w:rsid w:val="00357B31"/>
    <w:rsid w:val="003738B3"/>
    <w:rsid w:val="00374307"/>
    <w:rsid w:val="00380CCC"/>
    <w:rsid w:val="00392C39"/>
    <w:rsid w:val="003964D0"/>
    <w:rsid w:val="003B2E4A"/>
    <w:rsid w:val="003B485C"/>
    <w:rsid w:val="003B61AE"/>
    <w:rsid w:val="003C2C4D"/>
    <w:rsid w:val="003C33D3"/>
    <w:rsid w:val="003C7DD9"/>
    <w:rsid w:val="003E0DEE"/>
    <w:rsid w:val="003E2B74"/>
    <w:rsid w:val="003F35EE"/>
    <w:rsid w:val="003F4605"/>
    <w:rsid w:val="003F496F"/>
    <w:rsid w:val="00400E22"/>
    <w:rsid w:val="0042321E"/>
    <w:rsid w:val="0044764F"/>
    <w:rsid w:val="004478AE"/>
    <w:rsid w:val="00473CAC"/>
    <w:rsid w:val="00475DDD"/>
    <w:rsid w:val="00482560"/>
    <w:rsid w:val="004A3503"/>
    <w:rsid w:val="004A5A5E"/>
    <w:rsid w:val="004B43B1"/>
    <w:rsid w:val="004E792A"/>
    <w:rsid w:val="004E7933"/>
    <w:rsid w:val="00506676"/>
    <w:rsid w:val="00506C23"/>
    <w:rsid w:val="00510981"/>
    <w:rsid w:val="005145BC"/>
    <w:rsid w:val="00525C80"/>
    <w:rsid w:val="0052659C"/>
    <w:rsid w:val="005313D8"/>
    <w:rsid w:val="00543848"/>
    <w:rsid w:val="00556373"/>
    <w:rsid w:val="00574962"/>
    <w:rsid w:val="00581FF4"/>
    <w:rsid w:val="0058473E"/>
    <w:rsid w:val="00593DC5"/>
    <w:rsid w:val="005C5BC3"/>
    <w:rsid w:val="005D0E90"/>
    <w:rsid w:val="005D133B"/>
    <w:rsid w:val="005F2981"/>
    <w:rsid w:val="005F30D4"/>
    <w:rsid w:val="005F7772"/>
    <w:rsid w:val="006021C6"/>
    <w:rsid w:val="006305EE"/>
    <w:rsid w:val="00633D78"/>
    <w:rsid w:val="00637C26"/>
    <w:rsid w:val="00643BD9"/>
    <w:rsid w:val="00665B4C"/>
    <w:rsid w:val="00667891"/>
    <w:rsid w:val="00676F76"/>
    <w:rsid w:val="00692E58"/>
    <w:rsid w:val="006A2199"/>
    <w:rsid w:val="006F09CD"/>
    <w:rsid w:val="006F4FFB"/>
    <w:rsid w:val="006F79CA"/>
    <w:rsid w:val="00705785"/>
    <w:rsid w:val="00712FEF"/>
    <w:rsid w:val="00713905"/>
    <w:rsid w:val="00722811"/>
    <w:rsid w:val="00732673"/>
    <w:rsid w:val="00743D70"/>
    <w:rsid w:val="007443B7"/>
    <w:rsid w:val="007565E5"/>
    <w:rsid w:val="00773C03"/>
    <w:rsid w:val="00777B41"/>
    <w:rsid w:val="007830A8"/>
    <w:rsid w:val="007912C4"/>
    <w:rsid w:val="007919CD"/>
    <w:rsid w:val="00793D72"/>
    <w:rsid w:val="00796BA6"/>
    <w:rsid w:val="007A2AFA"/>
    <w:rsid w:val="007D12BB"/>
    <w:rsid w:val="007F4289"/>
    <w:rsid w:val="008401F1"/>
    <w:rsid w:val="00840415"/>
    <w:rsid w:val="00851C50"/>
    <w:rsid w:val="0085481F"/>
    <w:rsid w:val="00862B2D"/>
    <w:rsid w:val="008675D6"/>
    <w:rsid w:val="00896157"/>
    <w:rsid w:val="008A0EEA"/>
    <w:rsid w:val="008A295A"/>
    <w:rsid w:val="008A3B84"/>
    <w:rsid w:val="008B3D0F"/>
    <w:rsid w:val="008D7B6A"/>
    <w:rsid w:val="008E1D7F"/>
    <w:rsid w:val="008E4057"/>
    <w:rsid w:val="008E758B"/>
    <w:rsid w:val="00906C25"/>
    <w:rsid w:val="00937BE5"/>
    <w:rsid w:val="00945495"/>
    <w:rsid w:val="00953031"/>
    <w:rsid w:val="0095622F"/>
    <w:rsid w:val="00963CC7"/>
    <w:rsid w:val="00967809"/>
    <w:rsid w:val="00970B83"/>
    <w:rsid w:val="00976095"/>
    <w:rsid w:val="009776E2"/>
    <w:rsid w:val="00994621"/>
    <w:rsid w:val="009A6409"/>
    <w:rsid w:val="009B0CFC"/>
    <w:rsid w:val="009C7645"/>
    <w:rsid w:val="009E304E"/>
    <w:rsid w:val="00A05D44"/>
    <w:rsid w:val="00A11E5E"/>
    <w:rsid w:val="00A147A6"/>
    <w:rsid w:val="00A339FB"/>
    <w:rsid w:val="00A3449D"/>
    <w:rsid w:val="00A35ADF"/>
    <w:rsid w:val="00A373FD"/>
    <w:rsid w:val="00A54391"/>
    <w:rsid w:val="00A606B7"/>
    <w:rsid w:val="00A6457E"/>
    <w:rsid w:val="00A74A04"/>
    <w:rsid w:val="00A814E7"/>
    <w:rsid w:val="00A914B7"/>
    <w:rsid w:val="00AA508A"/>
    <w:rsid w:val="00AB6337"/>
    <w:rsid w:val="00AC42C9"/>
    <w:rsid w:val="00AC70C1"/>
    <w:rsid w:val="00AE657F"/>
    <w:rsid w:val="00AE7DE6"/>
    <w:rsid w:val="00AF4754"/>
    <w:rsid w:val="00AF66F9"/>
    <w:rsid w:val="00B01D49"/>
    <w:rsid w:val="00B31BF6"/>
    <w:rsid w:val="00B4430F"/>
    <w:rsid w:val="00B56648"/>
    <w:rsid w:val="00B614F5"/>
    <w:rsid w:val="00B84FD2"/>
    <w:rsid w:val="00B863FE"/>
    <w:rsid w:val="00B90E75"/>
    <w:rsid w:val="00B94850"/>
    <w:rsid w:val="00B9772E"/>
    <w:rsid w:val="00BE0048"/>
    <w:rsid w:val="00BF03C1"/>
    <w:rsid w:val="00BF04CF"/>
    <w:rsid w:val="00C000CE"/>
    <w:rsid w:val="00C44122"/>
    <w:rsid w:val="00C44987"/>
    <w:rsid w:val="00C64475"/>
    <w:rsid w:val="00C90044"/>
    <w:rsid w:val="00C90753"/>
    <w:rsid w:val="00CA56DB"/>
    <w:rsid w:val="00CA62A7"/>
    <w:rsid w:val="00CA6630"/>
    <w:rsid w:val="00CA69DA"/>
    <w:rsid w:val="00CA6D4F"/>
    <w:rsid w:val="00CE0F29"/>
    <w:rsid w:val="00CF19DD"/>
    <w:rsid w:val="00D0777C"/>
    <w:rsid w:val="00D20FA8"/>
    <w:rsid w:val="00D309AC"/>
    <w:rsid w:val="00D4517F"/>
    <w:rsid w:val="00D60876"/>
    <w:rsid w:val="00D72280"/>
    <w:rsid w:val="00D73D5C"/>
    <w:rsid w:val="00D753B9"/>
    <w:rsid w:val="00D76EA6"/>
    <w:rsid w:val="00D84E02"/>
    <w:rsid w:val="00D851E9"/>
    <w:rsid w:val="00D8581C"/>
    <w:rsid w:val="00D96E04"/>
    <w:rsid w:val="00DA2F01"/>
    <w:rsid w:val="00DA43A2"/>
    <w:rsid w:val="00DB7013"/>
    <w:rsid w:val="00DC174E"/>
    <w:rsid w:val="00DC219A"/>
    <w:rsid w:val="00DC5A70"/>
    <w:rsid w:val="00DE6180"/>
    <w:rsid w:val="00DF3831"/>
    <w:rsid w:val="00E26BAE"/>
    <w:rsid w:val="00E340BA"/>
    <w:rsid w:val="00E3440B"/>
    <w:rsid w:val="00E3651F"/>
    <w:rsid w:val="00E4656A"/>
    <w:rsid w:val="00E51627"/>
    <w:rsid w:val="00E52804"/>
    <w:rsid w:val="00E81FFB"/>
    <w:rsid w:val="00E82CEC"/>
    <w:rsid w:val="00EA5447"/>
    <w:rsid w:val="00EB0E5D"/>
    <w:rsid w:val="00EB1D0E"/>
    <w:rsid w:val="00EB55E5"/>
    <w:rsid w:val="00EC3729"/>
    <w:rsid w:val="00ED24D0"/>
    <w:rsid w:val="00ED5945"/>
    <w:rsid w:val="00F0611F"/>
    <w:rsid w:val="00F16E4A"/>
    <w:rsid w:val="00F340B1"/>
    <w:rsid w:val="00F42FF1"/>
    <w:rsid w:val="00F46F1F"/>
    <w:rsid w:val="00F54C85"/>
    <w:rsid w:val="00F649C4"/>
    <w:rsid w:val="00F81A6C"/>
    <w:rsid w:val="00FA20C9"/>
    <w:rsid w:val="00FB54ED"/>
    <w:rsid w:val="00FD2AD1"/>
    <w:rsid w:val="00FD4A5F"/>
    <w:rsid w:val="00FE162E"/>
    <w:rsid w:val="00FE35EF"/>
    <w:rsid w:val="00FE5F10"/>
    <w:rsid w:val="00FF4398"/>
    <w:rsid w:val="00FF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F9CAA54"/>
  <w15:chartTrackingRefBased/>
  <w15:docId w15:val="{19AF4771-C661-4D62-8F04-C32F40F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sz w:val="24"/>
      <w:lang w:val="en-US" w:eastAsia="zh-CN"/>
    </w:rPr>
  </w:style>
  <w:style w:type="paragraph" w:styleId="Heading1">
    <w:name w:val="heading 1"/>
    <w:basedOn w:val="Normal"/>
    <w:next w:val="Normal"/>
    <w:qFormat/>
    <w:pPr>
      <w:keepNext/>
      <w:numPr>
        <w:numId w:val="2"/>
      </w:numPr>
      <w:tabs>
        <w:tab w:val="center" w:pos="4680"/>
      </w:tabs>
      <w:jc w:val="both"/>
      <w:outlineLvl w:val="0"/>
    </w:pPr>
    <w:rPr>
      <w:rFonts w:ascii="CG Times" w:hAnsi="CG Times" w:cs="CG Times"/>
      <w:i/>
      <w:color w:val="0000FF"/>
      <w:sz w:val="20"/>
    </w:rPr>
  </w:style>
  <w:style w:type="paragraph" w:styleId="Heading2">
    <w:name w:val="heading 2"/>
    <w:basedOn w:val="Normal"/>
    <w:next w:val="Normal"/>
    <w:qFormat/>
    <w:pPr>
      <w:keepNext/>
      <w:numPr>
        <w:ilvl w:val="1"/>
        <w:numId w:val="2"/>
      </w:numPr>
      <w:tabs>
        <w:tab w:val="center" w:pos="4680"/>
      </w:tabs>
      <w:jc w:val="center"/>
      <w:outlineLvl w:val="1"/>
    </w:pPr>
    <w:rPr>
      <w:rFonts w:ascii="CG Times" w:hAnsi="CG Times" w:cs="CG Times"/>
      <w:b/>
      <w:color w:val="0000FF"/>
    </w:rPr>
  </w:style>
  <w:style w:type="paragraph" w:styleId="Heading3">
    <w:name w:val="heading 3"/>
    <w:basedOn w:val="Normal"/>
    <w:next w:val="Normal"/>
    <w:qFormat/>
    <w:pPr>
      <w:keepNext/>
      <w:numPr>
        <w:ilvl w:val="2"/>
        <w:numId w:val="2"/>
      </w:numPr>
      <w:tabs>
        <w:tab w:val="center" w:pos="4680"/>
      </w:tabs>
      <w:jc w:val="both"/>
      <w:outlineLvl w:val="2"/>
    </w:pPr>
    <w:rPr>
      <w:i/>
      <w:sz w:val="20"/>
    </w:rPr>
  </w:style>
  <w:style w:type="paragraph" w:styleId="Heading4">
    <w:name w:val="heading 4"/>
    <w:basedOn w:val="Normal"/>
    <w:next w:val="Normal"/>
    <w:qFormat/>
    <w:pPr>
      <w:keepNext/>
      <w:numPr>
        <w:ilvl w:val="3"/>
        <w:numId w:val="2"/>
      </w:numPr>
      <w:tabs>
        <w:tab w:val="left" w:pos="-1440"/>
        <w:tab w:val="left" w:pos="-720"/>
        <w:tab w:val="left" w:pos="444"/>
      </w:tabs>
      <w:jc w:val="both"/>
      <w:outlineLvl w:val="3"/>
    </w:pPr>
    <w:rPr>
      <w:i/>
    </w:rPr>
  </w:style>
  <w:style w:type="paragraph" w:styleId="Heading5">
    <w:name w:val="heading 5"/>
    <w:basedOn w:val="Normal"/>
    <w:next w:val="Normal"/>
    <w:qFormat/>
    <w:pPr>
      <w:keepNext/>
      <w:numPr>
        <w:ilvl w:val="4"/>
        <w:numId w:val="2"/>
      </w:numPr>
      <w:tabs>
        <w:tab w:val="center" w:pos="4680"/>
        <w:tab w:val="left" w:pos="4867"/>
        <w:tab w:val="left" w:pos="7982"/>
        <w:tab w:val="left" w:pos="8395"/>
        <w:tab w:val="left" w:pos="8812"/>
      </w:tabs>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trike w:val="0"/>
      <w:dstrike w:val="0"/>
      <w:vertAlign w:val="superscript"/>
    </w:rPr>
  </w:style>
  <w:style w:type="character" w:customStyle="1" w:styleId="WW8Num7z0">
    <w:name w:val="WW8Num7z0"/>
    <w:rPr>
      <w:strike w:val="0"/>
      <w:dstrike w:val="0"/>
      <w:vertAlign w:val="superscript"/>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0"/>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qFormat/>
    <w:pPr>
      <w:suppressLineNumbers/>
      <w:spacing w:before="120" w:after="120"/>
    </w:pPr>
    <w:rPr>
      <w:rFonts w:cs="Lohit Devanagari"/>
      <w:i/>
      <w:iCs/>
      <w:szCs w:val="24"/>
    </w:rPr>
  </w:style>
  <w:style w:type="paragraph" w:styleId="Footer">
    <w:name w:val="footer"/>
    <w:basedOn w:val="Normal"/>
    <w:link w:val="FooterChar"/>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Indent">
    <w:name w:val="Body Text Indent"/>
    <w:basedOn w:val="BodyText"/>
    <w:pPr>
      <w:ind w:left="283"/>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CommentReference">
    <w:name w:val="annotation reference"/>
    <w:uiPriority w:val="99"/>
    <w:semiHidden/>
    <w:unhideWhenUsed/>
    <w:rsid w:val="00AB6337"/>
    <w:rPr>
      <w:sz w:val="16"/>
      <w:szCs w:val="16"/>
    </w:rPr>
  </w:style>
  <w:style w:type="paragraph" w:styleId="CommentText">
    <w:name w:val="annotation text"/>
    <w:basedOn w:val="Normal"/>
    <w:link w:val="CommentTextChar"/>
    <w:uiPriority w:val="99"/>
    <w:semiHidden/>
    <w:unhideWhenUsed/>
    <w:rsid w:val="00AB6337"/>
    <w:rPr>
      <w:color w:val="auto"/>
      <w:sz w:val="20"/>
      <w:lang w:val="en-GB"/>
    </w:rPr>
  </w:style>
  <w:style w:type="character" w:customStyle="1" w:styleId="CommentTextChar">
    <w:name w:val="Comment Text Char"/>
    <w:link w:val="CommentText"/>
    <w:uiPriority w:val="99"/>
    <w:semiHidden/>
    <w:rsid w:val="00AB6337"/>
    <w:rPr>
      <w:lang w:eastAsia="zh-CN"/>
    </w:rPr>
  </w:style>
  <w:style w:type="paragraph" w:styleId="BalloonText">
    <w:name w:val="Balloon Text"/>
    <w:basedOn w:val="Normal"/>
    <w:link w:val="BalloonTextChar"/>
    <w:uiPriority w:val="99"/>
    <w:semiHidden/>
    <w:unhideWhenUsed/>
    <w:rsid w:val="00AB6337"/>
    <w:rPr>
      <w:rFonts w:ascii="Tahoma" w:hAnsi="Tahoma" w:cs="Tahoma"/>
      <w:sz w:val="16"/>
      <w:szCs w:val="16"/>
    </w:rPr>
  </w:style>
  <w:style w:type="character" w:customStyle="1" w:styleId="BalloonTextChar">
    <w:name w:val="Balloon Text Char"/>
    <w:link w:val="BalloonText"/>
    <w:uiPriority w:val="99"/>
    <w:semiHidden/>
    <w:rsid w:val="00AB6337"/>
    <w:rPr>
      <w:rFonts w:ascii="Tahoma" w:hAnsi="Tahoma" w:cs="Tahoma"/>
      <w:color w:val="000000"/>
      <w:sz w:val="16"/>
      <w:szCs w:val="16"/>
      <w:lang w:val="en-US" w:eastAsia="zh-CN"/>
    </w:rPr>
  </w:style>
  <w:style w:type="paragraph" w:styleId="CommentSubject">
    <w:name w:val="annotation subject"/>
    <w:basedOn w:val="CommentText"/>
    <w:next w:val="CommentText"/>
    <w:link w:val="CommentSubjectChar"/>
    <w:uiPriority w:val="99"/>
    <w:semiHidden/>
    <w:unhideWhenUsed/>
    <w:rsid w:val="00DC5A70"/>
    <w:rPr>
      <w:b/>
      <w:bCs/>
      <w:color w:val="000000"/>
      <w:lang w:val="en-US"/>
    </w:rPr>
  </w:style>
  <w:style w:type="character" w:customStyle="1" w:styleId="CommentSubjectChar">
    <w:name w:val="Comment Subject Char"/>
    <w:link w:val="CommentSubject"/>
    <w:uiPriority w:val="99"/>
    <w:semiHidden/>
    <w:rsid w:val="00DC5A70"/>
    <w:rPr>
      <w:b/>
      <w:bCs/>
      <w:color w:val="000000"/>
      <w:lang w:val="en-US" w:eastAsia="zh-CN"/>
    </w:rPr>
  </w:style>
  <w:style w:type="character" w:customStyle="1" w:styleId="FooterChar">
    <w:name w:val="Footer Char"/>
    <w:link w:val="Footer"/>
    <w:rsid w:val="0003110A"/>
    <w:rPr>
      <w:color w:val="000000"/>
      <w:sz w:val="24"/>
      <w:lang w:val="en-US" w:eastAsia="zh-CN"/>
    </w:rPr>
  </w:style>
  <w:style w:type="character" w:customStyle="1" w:styleId="pagenumber0">
    <w:name w:val="page number"/>
    <w:rsid w:val="0003110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1640">
      <w:bodyDiv w:val="1"/>
      <w:marLeft w:val="0"/>
      <w:marRight w:val="0"/>
      <w:marTop w:val="0"/>
      <w:marBottom w:val="0"/>
      <w:divBdr>
        <w:top w:val="none" w:sz="0" w:space="0" w:color="auto"/>
        <w:left w:val="none" w:sz="0" w:space="0" w:color="auto"/>
        <w:bottom w:val="none" w:sz="0" w:space="0" w:color="auto"/>
        <w:right w:val="none" w:sz="0" w:space="0" w:color="auto"/>
      </w:divBdr>
    </w:div>
    <w:div w:id="250242622">
      <w:bodyDiv w:val="1"/>
      <w:marLeft w:val="0"/>
      <w:marRight w:val="0"/>
      <w:marTop w:val="0"/>
      <w:marBottom w:val="0"/>
      <w:divBdr>
        <w:top w:val="none" w:sz="0" w:space="0" w:color="auto"/>
        <w:left w:val="none" w:sz="0" w:space="0" w:color="auto"/>
        <w:bottom w:val="none" w:sz="0" w:space="0" w:color="auto"/>
        <w:right w:val="none" w:sz="0" w:space="0" w:color="auto"/>
      </w:divBdr>
    </w:div>
    <w:div w:id="1230114155">
      <w:bodyDiv w:val="1"/>
      <w:marLeft w:val="0"/>
      <w:marRight w:val="0"/>
      <w:marTop w:val="0"/>
      <w:marBottom w:val="0"/>
      <w:divBdr>
        <w:top w:val="none" w:sz="0" w:space="0" w:color="auto"/>
        <w:left w:val="none" w:sz="0" w:space="0" w:color="auto"/>
        <w:bottom w:val="none" w:sz="0" w:space="0" w:color="auto"/>
        <w:right w:val="none" w:sz="0" w:space="0" w:color="auto"/>
      </w:divBdr>
    </w:div>
    <w:div w:id="1290666626">
      <w:bodyDiv w:val="1"/>
      <w:marLeft w:val="0"/>
      <w:marRight w:val="0"/>
      <w:marTop w:val="0"/>
      <w:marBottom w:val="0"/>
      <w:divBdr>
        <w:top w:val="none" w:sz="0" w:space="0" w:color="auto"/>
        <w:left w:val="none" w:sz="0" w:space="0" w:color="auto"/>
        <w:bottom w:val="none" w:sz="0" w:space="0" w:color="auto"/>
        <w:right w:val="none" w:sz="0" w:space="0" w:color="auto"/>
      </w:divBdr>
    </w:div>
    <w:div w:id="1577128323">
      <w:bodyDiv w:val="1"/>
      <w:marLeft w:val="0"/>
      <w:marRight w:val="0"/>
      <w:marTop w:val="0"/>
      <w:marBottom w:val="0"/>
      <w:divBdr>
        <w:top w:val="none" w:sz="0" w:space="0" w:color="auto"/>
        <w:left w:val="none" w:sz="0" w:space="0" w:color="auto"/>
        <w:bottom w:val="none" w:sz="0" w:space="0" w:color="auto"/>
        <w:right w:val="none" w:sz="0" w:space="0" w:color="auto"/>
      </w:divBdr>
    </w:div>
    <w:div w:id="1821384776">
      <w:bodyDiv w:val="1"/>
      <w:marLeft w:val="0"/>
      <w:marRight w:val="0"/>
      <w:marTop w:val="0"/>
      <w:marBottom w:val="0"/>
      <w:divBdr>
        <w:top w:val="none" w:sz="0" w:space="0" w:color="auto"/>
        <w:left w:val="none" w:sz="0" w:space="0" w:color="auto"/>
        <w:bottom w:val="none" w:sz="0" w:space="0" w:color="auto"/>
        <w:right w:val="none" w:sz="0" w:space="0" w:color="auto"/>
      </w:divBdr>
    </w:div>
    <w:div w:id="1910648108">
      <w:bodyDiv w:val="1"/>
      <w:marLeft w:val="0"/>
      <w:marRight w:val="0"/>
      <w:marTop w:val="0"/>
      <w:marBottom w:val="0"/>
      <w:divBdr>
        <w:top w:val="none" w:sz="0" w:space="0" w:color="auto"/>
        <w:left w:val="none" w:sz="0" w:space="0" w:color="auto"/>
        <w:bottom w:val="none" w:sz="0" w:space="0" w:color="auto"/>
        <w:right w:val="none" w:sz="0" w:space="0" w:color="auto"/>
      </w:divBdr>
    </w:div>
    <w:div w:id="20088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pac.pole-eth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922C-4D87-42B4-8036-DE358E17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CGI_16</vt:lpstr>
    </vt:vector>
  </TitlesOfParts>
  <Company/>
  <LinksUpToDate>false</LinksUpToDate>
  <CharactersWithSpaces>9622</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CGI_16</dc:title>
  <dc:subject/>
  <dc:creator>Janet Arey</dc:creator>
  <cp:keywords/>
  <cp:lastModifiedBy>Mike</cp:lastModifiedBy>
  <cp:revision>2</cp:revision>
  <cp:lastPrinted>2020-05-11T08:11:00Z</cp:lastPrinted>
  <dcterms:created xsi:type="dcterms:W3CDTF">2020-05-11T08:12:00Z</dcterms:created>
  <dcterms:modified xsi:type="dcterms:W3CDTF">2020-05-11T08:12:00Z</dcterms:modified>
</cp:coreProperties>
</file>